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A3950" w:rsidRDefault="00EA3950">
      <w:pPr>
        <w:pBdr>
          <w:top w:val="nil"/>
          <w:left w:val="nil"/>
          <w:bottom w:val="nil"/>
          <w:right w:val="nil"/>
          <w:between w:val="nil"/>
        </w:pBdr>
        <w:spacing w:after="0" w:line="240" w:lineRule="auto"/>
        <w:jc w:val="center"/>
        <w:rPr>
          <w:b/>
        </w:rPr>
      </w:pPr>
      <w:bookmarkStart w:id="0" w:name="_lgdgtv42mlji"/>
      <w:bookmarkEnd w:id="0"/>
    </w:p>
    <w:p w14:paraId="4BCF93AE" w14:textId="69E956DA" w:rsidR="50A1F1A3" w:rsidRDefault="50A1F1A3" w:rsidP="13665272">
      <w:pPr>
        <w:pBdr>
          <w:top w:val="nil"/>
          <w:left w:val="nil"/>
          <w:bottom w:val="nil"/>
          <w:right w:val="nil"/>
          <w:between w:val="nil"/>
        </w:pBdr>
        <w:spacing w:after="0" w:line="240" w:lineRule="auto"/>
        <w:jc w:val="center"/>
        <w:rPr>
          <w:b/>
          <w:bCs/>
          <w:sz w:val="24"/>
          <w:szCs w:val="24"/>
        </w:rPr>
      </w:pPr>
      <w:r w:rsidRPr="13665272">
        <w:rPr>
          <w:b/>
          <w:bCs/>
          <w:sz w:val="24"/>
          <w:szCs w:val="24"/>
          <w:lang w:val="es-ES"/>
        </w:rPr>
        <w:t>Selina revela avance</w:t>
      </w:r>
      <w:r w:rsidRPr="13665272">
        <w:rPr>
          <w:b/>
          <w:bCs/>
          <w:sz w:val="24"/>
          <w:szCs w:val="24"/>
        </w:rPr>
        <w:t xml:space="preserve">s notables en su </w:t>
      </w:r>
      <w:r w:rsidRPr="13665272">
        <w:rPr>
          <w:b/>
          <w:bCs/>
          <w:i/>
          <w:iCs/>
          <w:sz w:val="24"/>
          <w:szCs w:val="24"/>
        </w:rPr>
        <w:t>Core Business</w:t>
      </w:r>
      <w:r w:rsidRPr="13665272">
        <w:rPr>
          <w:b/>
          <w:bCs/>
          <w:sz w:val="24"/>
          <w:szCs w:val="24"/>
        </w:rPr>
        <w:t>: datos preliminares del primer trimestre 2024 y resultados anuales del 2023</w:t>
      </w:r>
    </w:p>
    <w:p w14:paraId="0A37501D" w14:textId="77777777" w:rsidR="00EA3950" w:rsidRDefault="00EA3950">
      <w:pPr>
        <w:spacing w:before="80" w:after="60" w:line="240" w:lineRule="auto"/>
        <w:jc w:val="both"/>
        <w:rPr>
          <w:highlight w:val="yellow"/>
        </w:rPr>
      </w:pPr>
    </w:p>
    <w:p w14:paraId="63745590" w14:textId="77777777" w:rsidR="00EA3950" w:rsidRDefault="0076359A">
      <w:pPr>
        <w:numPr>
          <w:ilvl w:val="0"/>
          <w:numId w:val="2"/>
        </w:numPr>
        <w:spacing w:before="80" w:after="60" w:line="240" w:lineRule="auto"/>
        <w:jc w:val="both"/>
      </w:pPr>
      <w:r>
        <w:t>Selina negoció con éxito la terminación de 17 propiedades arrendadas desde enero de 2023. Estas propiedades contribuyeron con aproximadamente el 70% de las pérdidas operativas a nivel unitario de la Compañía para el año fiscal 2023.</w:t>
      </w:r>
    </w:p>
    <w:p w14:paraId="4B2AEB5C" w14:textId="013E45C6" w:rsidR="00EA3950" w:rsidRDefault="5410A433" w:rsidP="13665272">
      <w:pPr>
        <w:numPr>
          <w:ilvl w:val="0"/>
          <w:numId w:val="2"/>
        </w:numPr>
        <w:spacing w:before="80" w:after="60" w:line="240" w:lineRule="auto"/>
        <w:jc w:val="both"/>
        <w:rPr>
          <w:lang w:val="es-ES"/>
        </w:rPr>
      </w:pPr>
      <w:r w:rsidRPr="13665272">
        <w:rPr>
          <w:lang w:val="es-ES"/>
        </w:rPr>
        <w:t>Se espera un margen de beneficio operativo bruto (“GOP”) del 29</w:t>
      </w:r>
      <w:r w:rsidR="659B3D6D" w:rsidRPr="13665272">
        <w:rPr>
          <w:lang w:val="es-ES"/>
        </w:rPr>
        <w:t>.</w:t>
      </w:r>
      <w:r w:rsidRPr="13665272">
        <w:rPr>
          <w:lang w:val="es-ES"/>
        </w:rPr>
        <w:t>4% al 31</w:t>
      </w:r>
      <w:r w:rsidR="6119846D" w:rsidRPr="13665272">
        <w:rPr>
          <w:lang w:val="es-ES"/>
        </w:rPr>
        <w:t>.</w:t>
      </w:r>
      <w:r w:rsidRPr="13665272">
        <w:rPr>
          <w:lang w:val="es-ES"/>
        </w:rPr>
        <w:t xml:space="preserve">4% para el primer trimestre de 2024, lo que representa un crecimiento del 24% en comparación con </w:t>
      </w:r>
      <w:r w:rsidR="26536619" w:rsidRPr="13665272">
        <w:rPr>
          <w:lang w:val="es-ES"/>
        </w:rPr>
        <w:t>los primeros tres meses</w:t>
      </w:r>
      <w:r w:rsidRPr="13665272">
        <w:rPr>
          <w:lang w:val="es-ES"/>
        </w:rPr>
        <w:t xml:space="preserve"> de 2023, lo que resulta en un beneficio operativo a nivel unitario (“ULOP”) positivo en el primer trimestre de 2024, un hito importante para la compañía.</w:t>
      </w:r>
    </w:p>
    <w:p w14:paraId="39DCF8A0" w14:textId="0605BA5E" w:rsidR="00EA3950" w:rsidRDefault="5410A433">
      <w:pPr>
        <w:numPr>
          <w:ilvl w:val="0"/>
          <w:numId w:val="2"/>
        </w:numPr>
        <w:spacing w:before="80" w:after="60" w:line="240" w:lineRule="auto"/>
        <w:jc w:val="both"/>
      </w:pPr>
      <w:r>
        <w:t>Reducción de los costos generales corporativos (“COH”) en un 38% en el primer trimestre de 2024 en comparación con el primer trimestre de 2023.</w:t>
      </w:r>
    </w:p>
    <w:p w14:paraId="5DAB6C7B" w14:textId="77777777" w:rsidR="00EA3950" w:rsidRDefault="00EA3950">
      <w:pPr>
        <w:pBdr>
          <w:top w:val="nil"/>
          <w:left w:val="nil"/>
          <w:bottom w:val="nil"/>
          <w:right w:val="nil"/>
          <w:between w:val="nil"/>
        </w:pBdr>
        <w:spacing w:after="0" w:line="240" w:lineRule="auto"/>
        <w:jc w:val="both"/>
        <w:rPr>
          <w:b/>
          <w:color w:val="222222"/>
          <w:highlight w:val="white"/>
        </w:rPr>
      </w:pPr>
    </w:p>
    <w:p w14:paraId="7B31ABD1" w14:textId="118DDB73" w:rsidR="00EA3950" w:rsidRDefault="5410A433" w:rsidP="13665272">
      <w:pPr>
        <w:pBdr>
          <w:top w:val="nil"/>
          <w:left w:val="nil"/>
          <w:bottom w:val="nil"/>
          <w:right w:val="nil"/>
          <w:between w:val="nil"/>
        </w:pBdr>
        <w:spacing w:after="0" w:line="240" w:lineRule="auto"/>
        <w:jc w:val="both"/>
        <w:rPr>
          <w:color w:val="0D0D0D"/>
          <w:lang w:val="es-ES"/>
        </w:rPr>
      </w:pPr>
      <w:r w:rsidRPr="7CCD547B">
        <w:rPr>
          <w:b/>
          <w:bCs/>
          <w:lang w:val="es-ES"/>
        </w:rPr>
        <w:t>NUEVA YORK (9 de mayo de 2024)</w:t>
      </w:r>
      <w:r w:rsidRPr="7CCD547B">
        <w:rPr>
          <w:lang w:val="es-ES"/>
        </w:rPr>
        <w:t xml:space="preserve"> – Selina Hospitalidad PLC ("</w:t>
      </w:r>
      <w:hyperlink r:id="rId10">
        <w:r w:rsidRPr="7CCD547B">
          <w:rPr>
            <w:color w:val="1155CC"/>
            <w:u w:val="single"/>
            <w:lang w:val="es-ES"/>
          </w:rPr>
          <w:t>Selina</w:t>
        </w:r>
      </w:hyperlink>
      <w:r w:rsidRPr="7CCD547B">
        <w:rPr>
          <w:lang w:val="es-ES"/>
        </w:rPr>
        <w:t>"; NASDAQ: SLNA), una empresa global</w:t>
      </w:r>
      <w:r w:rsidRPr="7CCD547B">
        <w:rPr>
          <w:shd w:val="clear" w:color="auto" w:fill="FEFEFE"/>
          <w:lang w:val="es-ES"/>
        </w:rPr>
        <w:t xml:space="preserve"> de estilo de vida y hotelería dirigid</w:t>
      </w:r>
      <w:r w:rsidR="51276225" w:rsidRPr="7CCD547B">
        <w:rPr>
          <w:shd w:val="clear" w:color="auto" w:fill="FEFEFE"/>
          <w:lang w:val="es-ES"/>
        </w:rPr>
        <w:t>a</w:t>
      </w:r>
      <w:r w:rsidRPr="7CCD547B">
        <w:rPr>
          <w:lang w:val="es-ES"/>
        </w:rPr>
        <w:t xml:space="preserve"> a millennials y Generación Z, anuncia hoy su información financiera y operativa preliminar </w:t>
      </w:r>
      <w:r w:rsidRPr="7CCD547B">
        <w:rPr>
          <w:color w:val="0D0D0D"/>
          <w:lang w:val="es-ES"/>
        </w:rPr>
        <w:t>para el año fiscal 2023 y el primer trimestre de 2024, lo que refleja el progreso reciente y las mejoras realizadas en su negocio operativo hotelero principal.</w:t>
      </w:r>
    </w:p>
    <w:p w14:paraId="02EB378F" w14:textId="77777777" w:rsidR="00EA3950" w:rsidRDefault="00EA3950">
      <w:pPr>
        <w:pBdr>
          <w:top w:val="nil"/>
          <w:left w:val="nil"/>
          <w:bottom w:val="nil"/>
          <w:right w:val="nil"/>
          <w:between w:val="nil"/>
        </w:pBdr>
        <w:spacing w:after="0" w:line="240" w:lineRule="auto"/>
        <w:jc w:val="both"/>
        <w:rPr>
          <w:color w:val="0D0D0D"/>
        </w:rPr>
      </w:pPr>
    </w:p>
    <w:p w14:paraId="373C9636" w14:textId="77777777" w:rsidR="00EA3950" w:rsidRDefault="0076359A">
      <w:pPr>
        <w:spacing w:after="0" w:line="240" w:lineRule="auto"/>
        <w:jc w:val="both"/>
        <w:rPr>
          <w:color w:val="0D0D0D"/>
        </w:rPr>
      </w:pPr>
      <w:r>
        <w:rPr>
          <w:color w:val="0D0D0D"/>
        </w:rPr>
        <w:t>La información financiera y operativa preliminar incluida en este documento no está auditada y es preliminar y, como tal, está sujeta a cambios debido, entre otras cosas, a la finalización de los procedimientos de auditoría y revisión de 2023 de la Compañía para el primer trimestre de 2024.</w:t>
      </w:r>
    </w:p>
    <w:p w14:paraId="6A05A809" w14:textId="77777777" w:rsidR="00EA3950" w:rsidRDefault="00EA3950">
      <w:pPr>
        <w:spacing w:after="0" w:line="240" w:lineRule="auto"/>
        <w:jc w:val="both"/>
        <w:rPr>
          <w:color w:val="0D0D0D"/>
        </w:rPr>
      </w:pPr>
    </w:p>
    <w:tbl>
      <w:tblPr>
        <w:tblW w:w="101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80"/>
        <w:gridCol w:w="1050"/>
        <w:gridCol w:w="1050"/>
        <w:gridCol w:w="930"/>
        <w:gridCol w:w="120"/>
        <w:gridCol w:w="1500"/>
        <w:gridCol w:w="900"/>
        <w:gridCol w:w="1755"/>
      </w:tblGrid>
      <w:tr w:rsidR="00EA3950" w14:paraId="08459156"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center"/>
          </w:tcPr>
          <w:p w14:paraId="08906F6F" w14:textId="77777777" w:rsidR="00EA3950" w:rsidRDefault="0076359A">
            <w:pPr>
              <w:widowControl w:val="0"/>
              <w:spacing w:after="0" w:line="276" w:lineRule="auto"/>
              <w:rPr>
                <w:rFonts w:ascii="Arial" w:eastAsia="Arial" w:hAnsi="Arial" w:cs="Arial"/>
                <w:b/>
                <w:sz w:val="18"/>
                <w:szCs w:val="18"/>
              </w:rPr>
            </w:pPr>
            <w:r>
              <w:rPr>
                <w:rFonts w:ascii="Arial" w:eastAsia="Arial" w:hAnsi="Arial" w:cs="Arial"/>
                <w:b/>
                <w:i/>
                <w:sz w:val="18"/>
                <w:szCs w:val="18"/>
              </w:rPr>
              <w:t>No auditado</w:t>
            </w:r>
            <w:r>
              <w:rPr>
                <w:rFonts w:ascii="Arial" w:eastAsia="Arial" w:hAnsi="Arial" w:cs="Arial"/>
                <w:b/>
                <w:sz w:val="18"/>
                <w:szCs w:val="18"/>
              </w:rPr>
              <w:t xml:space="preserve"> </w:t>
            </w:r>
          </w:p>
        </w:tc>
        <w:tc>
          <w:tcPr>
            <w:tcW w:w="1050" w:type="dxa"/>
            <w:tcBorders>
              <w:top w:val="nil"/>
              <w:left w:val="nil"/>
              <w:bottom w:val="single" w:sz="6" w:space="0" w:color="000000" w:themeColor="text1"/>
              <w:right w:val="nil"/>
            </w:tcBorders>
            <w:tcMar>
              <w:top w:w="40" w:type="dxa"/>
              <w:left w:w="40" w:type="dxa"/>
              <w:bottom w:w="40" w:type="dxa"/>
              <w:right w:w="40" w:type="dxa"/>
            </w:tcMar>
            <w:vAlign w:val="center"/>
          </w:tcPr>
          <w:p w14:paraId="05FD04D5"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b/>
                <w:sz w:val="20"/>
                <w:szCs w:val="20"/>
              </w:rPr>
              <w:t>MI 2023</w:t>
            </w:r>
          </w:p>
        </w:tc>
        <w:tc>
          <w:tcPr>
            <w:tcW w:w="1050" w:type="dxa"/>
            <w:tcBorders>
              <w:top w:val="nil"/>
              <w:left w:val="nil"/>
              <w:bottom w:val="single" w:sz="6" w:space="0" w:color="000000" w:themeColor="text1"/>
              <w:right w:val="nil"/>
            </w:tcBorders>
            <w:tcMar>
              <w:top w:w="40" w:type="dxa"/>
              <w:left w:w="40" w:type="dxa"/>
              <w:bottom w:w="40" w:type="dxa"/>
              <w:right w:w="40" w:type="dxa"/>
            </w:tcMar>
            <w:vAlign w:val="center"/>
          </w:tcPr>
          <w:p w14:paraId="20F6EB48"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b/>
                <w:sz w:val="20"/>
                <w:szCs w:val="20"/>
              </w:rPr>
              <w:t>MI 2022</w:t>
            </w:r>
          </w:p>
        </w:tc>
        <w:tc>
          <w:tcPr>
            <w:tcW w:w="930" w:type="dxa"/>
            <w:tcBorders>
              <w:top w:val="nil"/>
              <w:left w:val="nil"/>
              <w:bottom w:val="single" w:sz="6" w:space="0" w:color="000000" w:themeColor="text1"/>
              <w:right w:val="nil"/>
            </w:tcBorders>
            <w:tcMar>
              <w:top w:w="40" w:type="dxa"/>
              <w:left w:w="40" w:type="dxa"/>
              <w:bottom w:w="40" w:type="dxa"/>
              <w:right w:w="40" w:type="dxa"/>
            </w:tcMar>
            <w:vAlign w:val="center"/>
          </w:tcPr>
          <w:p w14:paraId="7E252E0A"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b/>
                <w:i/>
                <w:sz w:val="20"/>
                <w:szCs w:val="20"/>
              </w:rPr>
              <w:t>Varianza (%)</w:t>
            </w:r>
          </w:p>
        </w:tc>
        <w:tc>
          <w:tcPr>
            <w:tcW w:w="120" w:type="dxa"/>
            <w:tcBorders>
              <w:top w:val="nil"/>
              <w:left w:val="nil"/>
              <w:bottom w:val="nil"/>
              <w:right w:val="nil"/>
            </w:tcBorders>
            <w:tcMar>
              <w:top w:w="40" w:type="dxa"/>
              <w:left w:w="40" w:type="dxa"/>
              <w:bottom w:w="40" w:type="dxa"/>
              <w:right w:w="40" w:type="dxa"/>
            </w:tcMar>
            <w:vAlign w:val="center"/>
          </w:tcPr>
          <w:p w14:paraId="5A39BBE3"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single" w:sz="6" w:space="0" w:color="000000" w:themeColor="text1"/>
              <w:right w:val="nil"/>
            </w:tcBorders>
            <w:tcMar>
              <w:top w:w="40" w:type="dxa"/>
              <w:left w:w="40" w:type="dxa"/>
              <w:bottom w:w="40" w:type="dxa"/>
              <w:right w:w="40" w:type="dxa"/>
            </w:tcMar>
            <w:vAlign w:val="center"/>
          </w:tcPr>
          <w:p w14:paraId="6744F43F"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b/>
                <w:sz w:val="20"/>
                <w:szCs w:val="20"/>
              </w:rPr>
              <w:t>Primer trimestre de 2024</w:t>
            </w:r>
          </w:p>
        </w:tc>
        <w:tc>
          <w:tcPr>
            <w:tcW w:w="900" w:type="dxa"/>
            <w:tcBorders>
              <w:top w:val="nil"/>
              <w:left w:val="nil"/>
              <w:bottom w:val="single" w:sz="6" w:space="0" w:color="000000" w:themeColor="text1"/>
              <w:right w:val="nil"/>
            </w:tcBorders>
            <w:tcMar>
              <w:top w:w="40" w:type="dxa"/>
              <w:left w:w="40" w:type="dxa"/>
              <w:bottom w:w="40" w:type="dxa"/>
              <w:right w:w="40" w:type="dxa"/>
            </w:tcMar>
            <w:vAlign w:val="center"/>
          </w:tcPr>
          <w:p w14:paraId="0CF936D6"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b/>
                <w:sz w:val="20"/>
                <w:szCs w:val="20"/>
              </w:rPr>
              <w:t>Primer trimestre de 2023</w:t>
            </w:r>
          </w:p>
        </w:tc>
        <w:tc>
          <w:tcPr>
            <w:tcW w:w="1755" w:type="dxa"/>
            <w:tcBorders>
              <w:top w:val="nil"/>
              <w:left w:val="nil"/>
              <w:bottom w:val="single" w:sz="6" w:space="0" w:color="000000" w:themeColor="text1"/>
              <w:right w:val="nil"/>
            </w:tcBorders>
            <w:tcMar>
              <w:top w:w="40" w:type="dxa"/>
              <w:left w:w="40" w:type="dxa"/>
              <w:bottom w:w="40" w:type="dxa"/>
              <w:right w:w="40" w:type="dxa"/>
            </w:tcMar>
            <w:vAlign w:val="center"/>
          </w:tcPr>
          <w:p w14:paraId="188A3A20" w14:textId="722B59BE" w:rsidR="00EA3950" w:rsidRDefault="7AF1BB8D" w:rsidP="13665272">
            <w:pPr>
              <w:widowControl w:val="0"/>
              <w:spacing w:after="0" w:line="276" w:lineRule="auto"/>
              <w:jc w:val="center"/>
              <w:rPr>
                <w:rFonts w:ascii="Arial" w:eastAsia="Arial" w:hAnsi="Arial" w:cs="Arial"/>
                <w:b/>
                <w:bCs/>
                <w:i/>
                <w:iCs/>
                <w:sz w:val="20"/>
                <w:szCs w:val="20"/>
                <w:lang w:val="es-ES"/>
              </w:rPr>
            </w:pPr>
            <w:r w:rsidRPr="13665272">
              <w:rPr>
                <w:rFonts w:ascii="Arial" w:eastAsia="Arial" w:hAnsi="Arial" w:cs="Arial"/>
                <w:b/>
                <w:bCs/>
                <w:i/>
                <w:iCs/>
                <w:sz w:val="20"/>
                <w:szCs w:val="20"/>
                <w:lang w:val="es-ES"/>
              </w:rPr>
              <w:t>Diferencia</w:t>
            </w:r>
            <w:r w:rsidRPr="13665272">
              <w:rPr>
                <w:rFonts w:ascii="Arial" w:eastAsia="Arial" w:hAnsi="Arial" w:cs="Arial"/>
                <w:b/>
                <w:bCs/>
                <w:sz w:val="20"/>
                <w:szCs w:val="20"/>
                <w:lang w:val="es-ES"/>
              </w:rPr>
              <w:t xml:space="preserve"> </w:t>
            </w:r>
            <w:r w:rsidR="09D33B3D" w:rsidRPr="13665272">
              <w:rPr>
                <w:rFonts w:ascii="Arial" w:eastAsia="Arial" w:hAnsi="Arial" w:cs="Arial"/>
                <w:b/>
                <w:bCs/>
                <w:sz w:val="20"/>
                <w:szCs w:val="20"/>
                <w:vertAlign w:val="superscript"/>
                <w:lang w:val="es-ES"/>
              </w:rPr>
              <w:t>(</w:t>
            </w:r>
            <w:r w:rsidR="5410A433" w:rsidRPr="13665272">
              <w:rPr>
                <w:rFonts w:ascii="Arial" w:eastAsia="Arial" w:hAnsi="Arial" w:cs="Arial"/>
                <w:b/>
                <w:bCs/>
                <w:sz w:val="20"/>
                <w:szCs w:val="20"/>
                <w:vertAlign w:val="superscript"/>
                <w:lang w:val="es-ES"/>
              </w:rPr>
              <w:t>9)</w:t>
            </w:r>
            <w:r w:rsidR="5410A433" w:rsidRPr="13665272">
              <w:rPr>
                <w:rFonts w:ascii="Arial" w:eastAsia="Arial" w:hAnsi="Arial" w:cs="Arial"/>
                <w:b/>
                <w:bCs/>
                <w:i/>
                <w:iCs/>
                <w:sz w:val="20"/>
                <w:szCs w:val="20"/>
                <w:lang w:val="es-ES"/>
              </w:rPr>
              <w:t xml:space="preserve"> </w:t>
            </w:r>
          </w:p>
          <w:p w14:paraId="28D51379"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b/>
                <w:i/>
                <w:sz w:val="20"/>
                <w:szCs w:val="20"/>
              </w:rPr>
              <w:t>(%)</w:t>
            </w:r>
          </w:p>
        </w:tc>
      </w:tr>
      <w:tr w:rsidR="00EA3950" w14:paraId="5F0D70DA"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4E2F6E96" w14:textId="5EA3F017" w:rsidR="00EA3950" w:rsidRDefault="5410A433" w:rsidP="13665272">
            <w:pPr>
              <w:widowControl w:val="0"/>
              <w:spacing w:after="0" w:line="276" w:lineRule="auto"/>
              <w:rPr>
                <w:rFonts w:ascii="Arial" w:eastAsia="Arial" w:hAnsi="Arial" w:cs="Arial"/>
                <w:sz w:val="20"/>
                <w:szCs w:val="20"/>
                <w:vertAlign w:val="superscript"/>
                <w:lang w:val="es-ES"/>
              </w:rPr>
            </w:pPr>
            <w:r w:rsidRPr="13665272">
              <w:rPr>
                <w:rFonts w:ascii="Arial" w:eastAsia="Arial" w:hAnsi="Arial" w:cs="Arial"/>
                <w:b/>
                <w:bCs/>
                <w:sz w:val="20"/>
                <w:szCs w:val="20"/>
                <w:lang w:val="es-ES"/>
              </w:rPr>
              <w:t xml:space="preserve">Tasa de </w:t>
            </w:r>
            <w:r w:rsidR="6E9DC5AD" w:rsidRPr="13665272">
              <w:rPr>
                <w:rFonts w:ascii="Arial" w:eastAsia="Arial" w:hAnsi="Arial" w:cs="Arial"/>
                <w:b/>
                <w:bCs/>
                <w:sz w:val="20"/>
                <w:szCs w:val="20"/>
                <w:lang w:val="es-ES"/>
              </w:rPr>
              <w:t xml:space="preserve">ocupación </w:t>
            </w:r>
            <w:r w:rsidR="38CBD6C6" w:rsidRPr="13665272">
              <w:rPr>
                <w:vertAlign w:val="superscript"/>
                <w:lang w:val="es-ES"/>
              </w:rPr>
              <w:t>(</w:t>
            </w:r>
            <w:r w:rsidRPr="13665272">
              <w:rPr>
                <w:rFonts w:ascii="Arial" w:eastAsia="Arial" w:hAnsi="Arial" w:cs="Arial"/>
                <w:b/>
                <w:bCs/>
                <w:sz w:val="20"/>
                <w:szCs w:val="20"/>
                <w:vertAlign w:val="superscript"/>
                <w:lang w:val="es-ES"/>
              </w:rPr>
              <w:t>1)</w:t>
            </w:r>
          </w:p>
        </w:tc>
        <w:tc>
          <w:tcPr>
            <w:tcW w:w="1050" w:type="dxa"/>
            <w:tcBorders>
              <w:top w:val="nil"/>
              <w:left w:val="nil"/>
              <w:bottom w:val="nil"/>
              <w:right w:val="nil"/>
            </w:tcBorders>
            <w:tcMar>
              <w:top w:w="40" w:type="dxa"/>
              <w:left w:w="40" w:type="dxa"/>
              <w:bottom w:w="40" w:type="dxa"/>
              <w:right w:w="40" w:type="dxa"/>
            </w:tcMar>
            <w:vAlign w:val="bottom"/>
          </w:tcPr>
          <w:p w14:paraId="770F7ED2"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51,80%</w:t>
            </w:r>
          </w:p>
        </w:tc>
        <w:tc>
          <w:tcPr>
            <w:tcW w:w="1050" w:type="dxa"/>
            <w:tcBorders>
              <w:top w:val="nil"/>
              <w:left w:val="nil"/>
              <w:bottom w:val="nil"/>
              <w:right w:val="nil"/>
            </w:tcBorders>
            <w:tcMar>
              <w:top w:w="40" w:type="dxa"/>
              <w:left w:w="40" w:type="dxa"/>
              <w:bottom w:w="40" w:type="dxa"/>
              <w:right w:w="40" w:type="dxa"/>
            </w:tcMar>
            <w:vAlign w:val="bottom"/>
          </w:tcPr>
          <w:p w14:paraId="2D58E93D"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47,5%</w:t>
            </w:r>
          </w:p>
        </w:tc>
        <w:tc>
          <w:tcPr>
            <w:tcW w:w="930" w:type="dxa"/>
            <w:tcBorders>
              <w:top w:val="nil"/>
              <w:left w:val="nil"/>
              <w:bottom w:val="nil"/>
              <w:right w:val="nil"/>
            </w:tcBorders>
            <w:tcMar>
              <w:top w:w="40" w:type="dxa"/>
              <w:left w:w="40" w:type="dxa"/>
              <w:bottom w:w="40" w:type="dxa"/>
              <w:right w:w="40" w:type="dxa"/>
            </w:tcMar>
            <w:vAlign w:val="bottom"/>
          </w:tcPr>
          <w:p w14:paraId="458589D7"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9,1%</w:t>
            </w:r>
          </w:p>
        </w:tc>
        <w:tc>
          <w:tcPr>
            <w:tcW w:w="120" w:type="dxa"/>
            <w:tcBorders>
              <w:top w:val="nil"/>
              <w:left w:val="nil"/>
              <w:bottom w:val="nil"/>
              <w:right w:val="nil"/>
            </w:tcBorders>
            <w:tcMar>
              <w:top w:w="40" w:type="dxa"/>
              <w:left w:w="40" w:type="dxa"/>
              <w:bottom w:w="40" w:type="dxa"/>
              <w:right w:w="40" w:type="dxa"/>
            </w:tcMar>
            <w:vAlign w:val="bottom"/>
          </w:tcPr>
          <w:p w14:paraId="41C8F396"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03C50B0D"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57,4%</w:t>
            </w:r>
          </w:p>
        </w:tc>
        <w:tc>
          <w:tcPr>
            <w:tcW w:w="900" w:type="dxa"/>
            <w:tcBorders>
              <w:top w:val="nil"/>
              <w:left w:val="nil"/>
              <w:bottom w:val="nil"/>
              <w:right w:val="nil"/>
            </w:tcBorders>
            <w:tcMar>
              <w:top w:w="40" w:type="dxa"/>
              <w:left w:w="40" w:type="dxa"/>
              <w:bottom w:w="40" w:type="dxa"/>
              <w:right w:w="40" w:type="dxa"/>
            </w:tcMar>
            <w:vAlign w:val="bottom"/>
          </w:tcPr>
          <w:p w14:paraId="43C22941"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56,9%</w:t>
            </w:r>
          </w:p>
        </w:tc>
        <w:tc>
          <w:tcPr>
            <w:tcW w:w="1755" w:type="dxa"/>
            <w:tcBorders>
              <w:top w:val="nil"/>
              <w:left w:val="nil"/>
              <w:bottom w:val="nil"/>
              <w:right w:val="nil"/>
            </w:tcBorders>
            <w:tcMar>
              <w:top w:w="40" w:type="dxa"/>
              <w:left w:w="40" w:type="dxa"/>
              <w:bottom w:w="40" w:type="dxa"/>
              <w:right w:w="40" w:type="dxa"/>
            </w:tcMar>
            <w:vAlign w:val="bottom"/>
          </w:tcPr>
          <w:p w14:paraId="4942C360"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0,9%</w:t>
            </w:r>
          </w:p>
        </w:tc>
      </w:tr>
      <w:tr w:rsidR="00EA3950" w14:paraId="1C1FEF55"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516CE2BA" w14:textId="77777777" w:rsidR="00EA3950" w:rsidRDefault="0076359A">
            <w:pPr>
              <w:widowControl w:val="0"/>
              <w:spacing w:after="0" w:line="276" w:lineRule="auto"/>
              <w:rPr>
                <w:rFonts w:ascii="Arial" w:eastAsia="Arial" w:hAnsi="Arial" w:cs="Arial"/>
                <w:sz w:val="20"/>
                <w:szCs w:val="20"/>
              </w:rPr>
            </w:pPr>
            <w:r>
              <w:rPr>
                <w:rFonts w:ascii="Arial" w:eastAsia="Arial" w:hAnsi="Arial" w:cs="Arial"/>
                <w:b/>
                <w:sz w:val="20"/>
                <w:szCs w:val="20"/>
              </w:rPr>
              <w:t>Propiedades, Fin de Periodo</w:t>
            </w:r>
          </w:p>
        </w:tc>
        <w:tc>
          <w:tcPr>
            <w:tcW w:w="1050" w:type="dxa"/>
            <w:tcBorders>
              <w:top w:val="nil"/>
              <w:left w:val="nil"/>
              <w:bottom w:val="nil"/>
              <w:right w:val="nil"/>
            </w:tcBorders>
            <w:tcMar>
              <w:top w:w="40" w:type="dxa"/>
              <w:left w:w="40" w:type="dxa"/>
              <w:bottom w:w="40" w:type="dxa"/>
              <w:right w:w="40" w:type="dxa"/>
            </w:tcMar>
            <w:vAlign w:val="bottom"/>
          </w:tcPr>
          <w:p w14:paraId="1C213BED"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110</w:t>
            </w:r>
          </w:p>
        </w:tc>
        <w:tc>
          <w:tcPr>
            <w:tcW w:w="1050" w:type="dxa"/>
            <w:tcBorders>
              <w:top w:val="nil"/>
              <w:left w:val="nil"/>
              <w:bottom w:val="nil"/>
              <w:right w:val="nil"/>
            </w:tcBorders>
            <w:tcMar>
              <w:top w:w="40" w:type="dxa"/>
              <w:left w:w="40" w:type="dxa"/>
              <w:bottom w:w="40" w:type="dxa"/>
              <w:right w:w="40" w:type="dxa"/>
            </w:tcMar>
            <w:vAlign w:val="bottom"/>
          </w:tcPr>
          <w:p w14:paraId="3D8C1C99"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118</w:t>
            </w:r>
          </w:p>
        </w:tc>
        <w:tc>
          <w:tcPr>
            <w:tcW w:w="930" w:type="dxa"/>
            <w:tcBorders>
              <w:top w:val="nil"/>
              <w:left w:val="nil"/>
              <w:bottom w:val="nil"/>
              <w:right w:val="nil"/>
            </w:tcBorders>
            <w:tcMar>
              <w:top w:w="40" w:type="dxa"/>
              <w:left w:w="40" w:type="dxa"/>
              <w:bottom w:w="40" w:type="dxa"/>
              <w:right w:w="40" w:type="dxa"/>
            </w:tcMar>
            <w:vAlign w:val="bottom"/>
          </w:tcPr>
          <w:p w14:paraId="46AC9510" w14:textId="30BFACE3"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(6,</w:t>
            </w:r>
            <w:r w:rsidR="22946E8F" w:rsidRPr="13665272">
              <w:rPr>
                <w:rFonts w:ascii="Arial" w:eastAsia="Arial" w:hAnsi="Arial" w:cs="Arial"/>
                <w:i/>
                <w:iCs/>
                <w:sz w:val="20"/>
                <w:szCs w:val="20"/>
                <w:lang w:val="es-ES"/>
              </w:rPr>
              <w:t>8) %</w:t>
            </w:r>
          </w:p>
        </w:tc>
        <w:tc>
          <w:tcPr>
            <w:tcW w:w="120" w:type="dxa"/>
            <w:tcBorders>
              <w:top w:val="nil"/>
              <w:left w:val="nil"/>
              <w:bottom w:val="nil"/>
              <w:right w:val="nil"/>
            </w:tcBorders>
            <w:tcMar>
              <w:top w:w="40" w:type="dxa"/>
              <w:left w:w="40" w:type="dxa"/>
              <w:bottom w:w="40" w:type="dxa"/>
              <w:right w:w="40" w:type="dxa"/>
            </w:tcMar>
            <w:vAlign w:val="bottom"/>
          </w:tcPr>
          <w:p w14:paraId="72A3D3EC"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4C3C3ED4"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107</w:t>
            </w:r>
          </w:p>
        </w:tc>
        <w:tc>
          <w:tcPr>
            <w:tcW w:w="900" w:type="dxa"/>
            <w:tcBorders>
              <w:top w:val="nil"/>
              <w:left w:val="nil"/>
              <w:bottom w:val="nil"/>
              <w:right w:val="nil"/>
            </w:tcBorders>
            <w:tcMar>
              <w:top w:w="40" w:type="dxa"/>
              <w:left w:w="40" w:type="dxa"/>
              <w:bottom w:w="40" w:type="dxa"/>
              <w:right w:w="40" w:type="dxa"/>
            </w:tcMar>
            <w:vAlign w:val="bottom"/>
          </w:tcPr>
          <w:p w14:paraId="3173FD78"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118</w:t>
            </w:r>
          </w:p>
        </w:tc>
        <w:tc>
          <w:tcPr>
            <w:tcW w:w="1755" w:type="dxa"/>
            <w:tcBorders>
              <w:top w:val="nil"/>
              <w:left w:val="nil"/>
              <w:bottom w:val="nil"/>
              <w:right w:val="nil"/>
            </w:tcBorders>
            <w:tcMar>
              <w:top w:w="40" w:type="dxa"/>
              <w:left w:w="40" w:type="dxa"/>
              <w:bottom w:w="40" w:type="dxa"/>
              <w:right w:w="40" w:type="dxa"/>
            </w:tcMar>
            <w:vAlign w:val="bottom"/>
          </w:tcPr>
          <w:p w14:paraId="2BD97193" w14:textId="7EC8F0DB"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(9,</w:t>
            </w:r>
            <w:r w:rsidR="2A674A28" w:rsidRPr="13665272">
              <w:rPr>
                <w:rFonts w:ascii="Arial" w:eastAsia="Arial" w:hAnsi="Arial" w:cs="Arial"/>
                <w:i/>
                <w:iCs/>
                <w:sz w:val="20"/>
                <w:szCs w:val="20"/>
                <w:lang w:val="es-ES"/>
              </w:rPr>
              <w:t>3) %</w:t>
            </w:r>
          </w:p>
        </w:tc>
      </w:tr>
      <w:tr w:rsidR="00EA3950" w14:paraId="19FFB210"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460B1B83" w14:textId="77777777" w:rsidR="00EA3950" w:rsidRDefault="0076359A">
            <w:pPr>
              <w:widowControl w:val="0"/>
              <w:spacing w:after="0" w:line="276" w:lineRule="auto"/>
              <w:rPr>
                <w:rFonts w:ascii="Arial" w:eastAsia="Arial" w:hAnsi="Arial" w:cs="Arial"/>
                <w:sz w:val="20"/>
                <w:szCs w:val="20"/>
              </w:rPr>
            </w:pPr>
            <w:r>
              <w:rPr>
                <w:rFonts w:ascii="Arial" w:eastAsia="Arial" w:hAnsi="Arial" w:cs="Arial"/>
                <w:b/>
                <w:sz w:val="20"/>
                <w:szCs w:val="20"/>
              </w:rPr>
              <w:t>Espacios para dormir, fin del período</w:t>
            </w:r>
          </w:p>
        </w:tc>
        <w:tc>
          <w:tcPr>
            <w:tcW w:w="1050" w:type="dxa"/>
            <w:tcBorders>
              <w:top w:val="nil"/>
              <w:left w:val="nil"/>
              <w:bottom w:val="nil"/>
              <w:right w:val="nil"/>
            </w:tcBorders>
            <w:tcMar>
              <w:top w:w="40" w:type="dxa"/>
              <w:left w:w="40" w:type="dxa"/>
              <w:bottom w:w="40" w:type="dxa"/>
              <w:right w:w="40" w:type="dxa"/>
            </w:tcMar>
            <w:vAlign w:val="bottom"/>
          </w:tcPr>
          <w:p w14:paraId="121FB664"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27.577</w:t>
            </w:r>
          </w:p>
        </w:tc>
        <w:tc>
          <w:tcPr>
            <w:tcW w:w="1050" w:type="dxa"/>
            <w:tcBorders>
              <w:top w:val="nil"/>
              <w:left w:val="nil"/>
              <w:bottom w:val="nil"/>
              <w:right w:val="nil"/>
            </w:tcBorders>
            <w:tcMar>
              <w:top w:w="40" w:type="dxa"/>
              <w:left w:w="40" w:type="dxa"/>
              <w:bottom w:w="40" w:type="dxa"/>
              <w:right w:w="40" w:type="dxa"/>
            </w:tcMar>
            <w:vAlign w:val="bottom"/>
          </w:tcPr>
          <w:p w14:paraId="52009189"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29.600</w:t>
            </w:r>
          </w:p>
        </w:tc>
        <w:tc>
          <w:tcPr>
            <w:tcW w:w="930" w:type="dxa"/>
            <w:tcBorders>
              <w:top w:val="nil"/>
              <w:left w:val="nil"/>
              <w:bottom w:val="nil"/>
              <w:right w:val="nil"/>
            </w:tcBorders>
            <w:tcMar>
              <w:top w:w="40" w:type="dxa"/>
              <w:left w:w="40" w:type="dxa"/>
              <w:bottom w:w="40" w:type="dxa"/>
              <w:right w:w="40" w:type="dxa"/>
            </w:tcMar>
            <w:vAlign w:val="bottom"/>
          </w:tcPr>
          <w:p w14:paraId="47145AD9" w14:textId="634E68B7"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(6,</w:t>
            </w:r>
            <w:r w:rsidR="707D7BF2" w:rsidRPr="13665272">
              <w:rPr>
                <w:rFonts w:ascii="Arial" w:eastAsia="Arial" w:hAnsi="Arial" w:cs="Arial"/>
                <w:i/>
                <w:iCs/>
                <w:sz w:val="20"/>
                <w:szCs w:val="20"/>
                <w:lang w:val="es-ES"/>
              </w:rPr>
              <w:t>8) %</w:t>
            </w:r>
          </w:p>
        </w:tc>
        <w:tc>
          <w:tcPr>
            <w:tcW w:w="120" w:type="dxa"/>
            <w:tcBorders>
              <w:top w:val="nil"/>
              <w:left w:val="nil"/>
              <w:bottom w:val="nil"/>
              <w:right w:val="nil"/>
            </w:tcBorders>
            <w:tcMar>
              <w:top w:w="40" w:type="dxa"/>
              <w:left w:w="40" w:type="dxa"/>
              <w:bottom w:w="40" w:type="dxa"/>
              <w:right w:w="40" w:type="dxa"/>
            </w:tcMar>
            <w:vAlign w:val="bottom"/>
          </w:tcPr>
          <w:p w14:paraId="0D0B940D"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7660C395"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25.957</w:t>
            </w:r>
          </w:p>
        </w:tc>
        <w:tc>
          <w:tcPr>
            <w:tcW w:w="900" w:type="dxa"/>
            <w:tcBorders>
              <w:top w:val="nil"/>
              <w:left w:val="nil"/>
              <w:bottom w:val="nil"/>
              <w:right w:val="nil"/>
            </w:tcBorders>
            <w:tcMar>
              <w:top w:w="40" w:type="dxa"/>
              <w:left w:w="40" w:type="dxa"/>
              <w:bottom w:w="40" w:type="dxa"/>
              <w:right w:w="40" w:type="dxa"/>
            </w:tcMar>
            <w:vAlign w:val="bottom"/>
          </w:tcPr>
          <w:p w14:paraId="16884F7A"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29.600</w:t>
            </w:r>
          </w:p>
        </w:tc>
        <w:tc>
          <w:tcPr>
            <w:tcW w:w="1755" w:type="dxa"/>
            <w:tcBorders>
              <w:top w:val="nil"/>
              <w:left w:val="nil"/>
              <w:bottom w:val="nil"/>
              <w:right w:val="nil"/>
            </w:tcBorders>
            <w:tcMar>
              <w:top w:w="40" w:type="dxa"/>
              <w:left w:w="40" w:type="dxa"/>
              <w:bottom w:w="40" w:type="dxa"/>
              <w:right w:w="40" w:type="dxa"/>
            </w:tcMar>
            <w:vAlign w:val="bottom"/>
          </w:tcPr>
          <w:p w14:paraId="2F24B172" w14:textId="5FEE6336"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(12,</w:t>
            </w:r>
            <w:r w:rsidR="6ADA7FD3" w:rsidRPr="13665272">
              <w:rPr>
                <w:rFonts w:ascii="Arial" w:eastAsia="Arial" w:hAnsi="Arial" w:cs="Arial"/>
                <w:i/>
                <w:iCs/>
                <w:sz w:val="20"/>
                <w:szCs w:val="20"/>
                <w:lang w:val="es-ES"/>
              </w:rPr>
              <w:t>3) %</w:t>
            </w:r>
          </w:p>
        </w:tc>
      </w:tr>
      <w:tr w:rsidR="00EA3950" w14:paraId="40DC042A"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516B6B40" w14:textId="4B6023E4" w:rsidR="00EA3950" w:rsidRDefault="5410A433" w:rsidP="13665272">
            <w:pPr>
              <w:widowControl w:val="0"/>
              <w:spacing w:after="0" w:line="276" w:lineRule="auto"/>
              <w:rPr>
                <w:rFonts w:ascii="Arial" w:eastAsia="Arial" w:hAnsi="Arial" w:cs="Arial"/>
                <w:sz w:val="20"/>
                <w:szCs w:val="20"/>
                <w:vertAlign w:val="superscript"/>
                <w:lang w:val="es-ES"/>
              </w:rPr>
            </w:pPr>
            <w:r w:rsidRPr="13665272">
              <w:rPr>
                <w:rFonts w:ascii="Arial" w:eastAsia="Arial" w:hAnsi="Arial" w:cs="Arial"/>
                <w:b/>
                <w:bCs/>
                <w:sz w:val="20"/>
                <w:szCs w:val="20"/>
                <w:lang w:val="es-ES"/>
              </w:rPr>
              <w:t xml:space="preserve">Ingresos totales anualizados por espacio de </w:t>
            </w:r>
            <w:r w:rsidR="6255B8A2" w:rsidRPr="13665272">
              <w:rPr>
                <w:rFonts w:ascii="Arial" w:eastAsia="Arial" w:hAnsi="Arial" w:cs="Arial"/>
                <w:b/>
                <w:bCs/>
                <w:sz w:val="20"/>
                <w:szCs w:val="20"/>
                <w:lang w:val="es-ES"/>
              </w:rPr>
              <w:t xml:space="preserve">cama </w:t>
            </w:r>
            <w:r w:rsidR="5F15E708" w:rsidRPr="13665272">
              <w:rPr>
                <w:vertAlign w:val="superscript"/>
                <w:lang w:val="es-ES"/>
              </w:rPr>
              <w:t>(</w:t>
            </w:r>
            <w:r w:rsidRPr="13665272">
              <w:rPr>
                <w:rFonts w:ascii="Arial" w:eastAsia="Arial" w:hAnsi="Arial" w:cs="Arial"/>
                <w:b/>
                <w:bCs/>
                <w:sz w:val="20"/>
                <w:szCs w:val="20"/>
                <w:vertAlign w:val="superscript"/>
                <w:lang w:val="es-ES"/>
              </w:rPr>
              <w:t>2)</w:t>
            </w:r>
          </w:p>
        </w:tc>
        <w:tc>
          <w:tcPr>
            <w:tcW w:w="1050" w:type="dxa"/>
            <w:tcBorders>
              <w:top w:val="nil"/>
              <w:left w:val="nil"/>
              <w:bottom w:val="nil"/>
              <w:right w:val="nil"/>
            </w:tcBorders>
            <w:tcMar>
              <w:top w:w="40" w:type="dxa"/>
              <w:left w:w="40" w:type="dxa"/>
              <w:bottom w:w="40" w:type="dxa"/>
              <w:right w:w="40" w:type="dxa"/>
            </w:tcMar>
            <w:vAlign w:val="bottom"/>
          </w:tcPr>
          <w:p w14:paraId="641C524F"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6.895</w:t>
            </w:r>
          </w:p>
        </w:tc>
        <w:tc>
          <w:tcPr>
            <w:tcW w:w="1050" w:type="dxa"/>
            <w:tcBorders>
              <w:top w:val="nil"/>
              <w:left w:val="nil"/>
              <w:bottom w:val="nil"/>
              <w:right w:val="nil"/>
            </w:tcBorders>
            <w:tcMar>
              <w:top w:w="40" w:type="dxa"/>
              <w:left w:w="40" w:type="dxa"/>
              <w:bottom w:w="40" w:type="dxa"/>
              <w:right w:w="40" w:type="dxa"/>
            </w:tcMar>
            <w:vAlign w:val="bottom"/>
          </w:tcPr>
          <w:p w14:paraId="6B799A24"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6.547</w:t>
            </w:r>
          </w:p>
        </w:tc>
        <w:tc>
          <w:tcPr>
            <w:tcW w:w="930" w:type="dxa"/>
            <w:tcBorders>
              <w:top w:val="nil"/>
              <w:left w:val="nil"/>
              <w:bottom w:val="nil"/>
              <w:right w:val="nil"/>
            </w:tcBorders>
            <w:tcMar>
              <w:top w:w="40" w:type="dxa"/>
              <w:left w:w="40" w:type="dxa"/>
              <w:bottom w:w="40" w:type="dxa"/>
              <w:right w:w="40" w:type="dxa"/>
            </w:tcMar>
            <w:vAlign w:val="bottom"/>
          </w:tcPr>
          <w:p w14:paraId="290A3946"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5,3%</w:t>
            </w:r>
          </w:p>
        </w:tc>
        <w:tc>
          <w:tcPr>
            <w:tcW w:w="120" w:type="dxa"/>
            <w:tcBorders>
              <w:top w:val="nil"/>
              <w:left w:val="nil"/>
              <w:bottom w:val="nil"/>
              <w:right w:val="nil"/>
            </w:tcBorders>
            <w:tcMar>
              <w:top w:w="40" w:type="dxa"/>
              <w:left w:w="40" w:type="dxa"/>
              <w:bottom w:w="40" w:type="dxa"/>
              <w:right w:w="40" w:type="dxa"/>
            </w:tcMar>
            <w:vAlign w:val="bottom"/>
          </w:tcPr>
          <w:p w14:paraId="0E27B00A"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4F324006"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7.373</w:t>
            </w:r>
          </w:p>
        </w:tc>
        <w:tc>
          <w:tcPr>
            <w:tcW w:w="900" w:type="dxa"/>
            <w:tcBorders>
              <w:top w:val="nil"/>
              <w:left w:val="nil"/>
              <w:bottom w:val="nil"/>
              <w:right w:val="nil"/>
            </w:tcBorders>
            <w:tcMar>
              <w:top w:w="40" w:type="dxa"/>
              <w:left w:w="40" w:type="dxa"/>
              <w:bottom w:w="40" w:type="dxa"/>
              <w:right w:w="40" w:type="dxa"/>
            </w:tcMar>
            <w:vAlign w:val="bottom"/>
          </w:tcPr>
          <w:p w14:paraId="2BA45DA5"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7.056</w:t>
            </w:r>
          </w:p>
        </w:tc>
        <w:tc>
          <w:tcPr>
            <w:tcW w:w="1755" w:type="dxa"/>
            <w:tcBorders>
              <w:top w:val="nil"/>
              <w:left w:val="nil"/>
              <w:bottom w:val="nil"/>
              <w:right w:val="nil"/>
            </w:tcBorders>
            <w:tcMar>
              <w:top w:w="40" w:type="dxa"/>
              <w:left w:w="40" w:type="dxa"/>
              <w:bottom w:w="40" w:type="dxa"/>
              <w:right w:w="40" w:type="dxa"/>
            </w:tcMar>
            <w:vAlign w:val="bottom"/>
          </w:tcPr>
          <w:p w14:paraId="33586812"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4,5%</w:t>
            </w:r>
          </w:p>
        </w:tc>
      </w:tr>
      <w:tr w:rsidR="00EA3950" w14:paraId="2EC76C0D"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0EC57407" w14:textId="7E5592C7" w:rsidR="00EA3950" w:rsidRDefault="5410A433" w:rsidP="13665272">
            <w:pPr>
              <w:widowControl w:val="0"/>
              <w:spacing w:after="0" w:line="276" w:lineRule="auto"/>
              <w:rPr>
                <w:rFonts w:ascii="Arial" w:eastAsia="Arial" w:hAnsi="Arial" w:cs="Arial"/>
                <w:sz w:val="20"/>
                <w:szCs w:val="20"/>
              </w:rPr>
            </w:pPr>
            <w:r w:rsidRPr="13665272">
              <w:rPr>
                <w:rFonts w:ascii="Arial" w:eastAsia="Arial" w:hAnsi="Arial" w:cs="Arial"/>
                <w:sz w:val="20"/>
                <w:szCs w:val="20"/>
              </w:rPr>
              <w:t>($ en millones)</w:t>
            </w:r>
          </w:p>
        </w:tc>
        <w:tc>
          <w:tcPr>
            <w:tcW w:w="1050" w:type="dxa"/>
            <w:tcBorders>
              <w:top w:val="nil"/>
              <w:left w:val="nil"/>
              <w:bottom w:val="nil"/>
              <w:right w:val="nil"/>
            </w:tcBorders>
            <w:tcMar>
              <w:top w:w="40" w:type="dxa"/>
              <w:left w:w="40" w:type="dxa"/>
              <w:bottom w:w="40" w:type="dxa"/>
              <w:right w:w="40" w:type="dxa"/>
            </w:tcMar>
            <w:vAlign w:val="bottom"/>
          </w:tcPr>
          <w:p w14:paraId="44EAFD9C" w14:textId="77777777" w:rsidR="00EA3950" w:rsidRDefault="00EA3950">
            <w:pPr>
              <w:widowControl w:val="0"/>
              <w:spacing w:after="0" w:line="276" w:lineRule="auto"/>
              <w:rPr>
                <w:rFonts w:ascii="Arial" w:eastAsia="Arial" w:hAnsi="Arial" w:cs="Arial"/>
                <w:b/>
                <w:sz w:val="20"/>
                <w:szCs w:val="20"/>
              </w:rPr>
            </w:pPr>
          </w:p>
        </w:tc>
        <w:tc>
          <w:tcPr>
            <w:tcW w:w="1050" w:type="dxa"/>
            <w:tcBorders>
              <w:top w:val="nil"/>
              <w:left w:val="nil"/>
              <w:bottom w:val="nil"/>
              <w:right w:val="nil"/>
            </w:tcBorders>
            <w:tcMar>
              <w:top w:w="40" w:type="dxa"/>
              <w:left w:w="40" w:type="dxa"/>
              <w:bottom w:w="40" w:type="dxa"/>
              <w:right w:w="40" w:type="dxa"/>
            </w:tcMar>
            <w:vAlign w:val="bottom"/>
          </w:tcPr>
          <w:p w14:paraId="4B94D5A5" w14:textId="77777777" w:rsidR="00EA3950" w:rsidRDefault="00EA3950">
            <w:pPr>
              <w:widowControl w:val="0"/>
              <w:spacing w:after="0" w:line="276" w:lineRule="auto"/>
              <w:rPr>
                <w:rFonts w:ascii="Arial" w:eastAsia="Arial" w:hAnsi="Arial" w:cs="Arial"/>
                <w:sz w:val="20"/>
                <w:szCs w:val="20"/>
              </w:rPr>
            </w:pPr>
          </w:p>
        </w:tc>
        <w:tc>
          <w:tcPr>
            <w:tcW w:w="930" w:type="dxa"/>
            <w:tcBorders>
              <w:top w:val="nil"/>
              <w:left w:val="nil"/>
              <w:bottom w:val="nil"/>
              <w:right w:val="nil"/>
            </w:tcBorders>
            <w:tcMar>
              <w:top w:w="40" w:type="dxa"/>
              <w:left w:w="40" w:type="dxa"/>
              <w:bottom w:w="40" w:type="dxa"/>
              <w:right w:w="40" w:type="dxa"/>
            </w:tcMar>
            <w:vAlign w:val="bottom"/>
          </w:tcPr>
          <w:p w14:paraId="3DEEC669" w14:textId="77777777" w:rsidR="00EA3950" w:rsidRDefault="00EA3950">
            <w:pPr>
              <w:widowControl w:val="0"/>
              <w:spacing w:after="0" w:line="276" w:lineRule="auto"/>
              <w:rPr>
                <w:rFonts w:ascii="Arial" w:eastAsia="Arial" w:hAnsi="Arial" w:cs="Arial"/>
                <w:i/>
                <w:sz w:val="20"/>
                <w:szCs w:val="20"/>
              </w:rPr>
            </w:pPr>
          </w:p>
        </w:tc>
        <w:tc>
          <w:tcPr>
            <w:tcW w:w="120" w:type="dxa"/>
            <w:tcBorders>
              <w:top w:val="nil"/>
              <w:left w:val="nil"/>
              <w:bottom w:val="nil"/>
              <w:right w:val="nil"/>
            </w:tcBorders>
            <w:tcMar>
              <w:top w:w="40" w:type="dxa"/>
              <w:left w:w="40" w:type="dxa"/>
              <w:bottom w:w="40" w:type="dxa"/>
              <w:right w:w="40" w:type="dxa"/>
            </w:tcMar>
            <w:vAlign w:val="bottom"/>
          </w:tcPr>
          <w:p w14:paraId="3656B9AB"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45FB0818" w14:textId="77777777" w:rsidR="00EA3950" w:rsidRDefault="00EA3950">
            <w:pPr>
              <w:widowControl w:val="0"/>
              <w:spacing w:after="0" w:line="276" w:lineRule="auto"/>
              <w:rPr>
                <w:rFonts w:ascii="Arial" w:eastAsia="Arial" w:hAnsi="Arial" w:cs="Arial"/>
                <w:b/>
                <w:sz w:val="20"/>
                <w:szCs w:val="20"/>
              </w:rPr>
            </w:pPr>
          </w:p>
        </w:tc>
        <w:tc>
          <w:tcPr>
            <w:tcW w:w="900" w:type="dxa"/>
            <w:tcBorders>
              <w:top w:val="nil"/>
              <w:left w:val="nil"/>
              <w:bottom w:val="nil"/>
              <w:right w:val="nil"/>
            </w:tcBorders>
            <w:tcMar>
              <w:top w:w="40" w:type="dxa"/>
              <w:left w:w="40" w:type="dxa"/>
              <w:bottom w:w="40" w:type="dxa"/>
              <w:right w:w="40" w:type="dxa"/>
            </w:tcMar>
            <w:vAlign w:val="bottom"/>
          </w:tcPr>
          <w:p w14:paraId="049F31CB" w14:textId="77777777" w:rsidR="00EA3950" w:rsidRDefault="00EA3950">
            <w:pPr>
              <w:widowControl w:val="0"/>
              <w:spacing w:after="0" w:line="276" w:lineRule="auto"/>
              <w:rPr>
                <w:rFonts w:ascii="Arial" w:eastAsia="Arial" w:hAnsi="Arial" w:cs="Arial"/>
                <w:sz w:val="20"/>
                <w:szCs w:val="20"/>
              </w:rPr>
            </w:pPr>
          </w:p>
        </w:tc>
        <w:tc>
          <w:tcPr>
            <w:tcW w:w="1755" w:type="dxa"/>
            <w:tcBorders>
              <w:top w:val="nil"/>
              <w:left w:val="nil"/>
              <w:bottom w:val="nil"/>
              <w:right w:val="nil"/>
            </w:tcBorders>
            <w:tcMar>
              <w:top w:w="40" w:type="dxa"/>
              <w:left w:w="40" w:type="dxa"/>
              <w:bottom w:w="40" w:type="dxa"/>
              <w:right w:w="40" w:type="dxa"/>
            </w:tcMar>
            <w:vAlign w:val="bottom"/>
          </w:tcPr>
          <w:p w14:paraId="53128261" w14:textId="77777777" w:rsidR="00EA3950" w:rsidRDefault="00EA3950">
            <w:pPr>
              <w:widowControl w:val="0"/>
              <w:spacing w:after="0" w:line="276" w:lineRule="auto"/>
              <w:rPr>
                <w:rFonts w:ascii="Arial" w:eastAsia="Arial" w:hAnsi="Arial" w:cs="Arial"/>
                <w:i/>
                <w:sz w:val="20"/>
                <w:szCs w:val="20"/>
              </w:rPr>
            </w:pPr>
          </w:p>
        </w:tc>
      </w:tr>
      <w:tr w:rsidR="00EA3950" w14:paraId="1BE9A964"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73F7985D" w14:textId="77777777" w:rsidR="00EA3950" w:rsidRDefault="0076359A">
            <w:pPr>
              <w:widowControl w:val="0"/>
              <w:spacing w:after="0" w:line="276" w:lineRule="auto"/>
              <w:rPr>
                <w:rFonts w:ascii="Arial" w:eastAsia="Arial" w:hAnsi="Arial" w:cs="Arial"/>
                <w:sz w:val="20"/>
                <w:szCs w:val="20"/>
              </w:rPr>
            </w:pPr>
            <w:r>
              <w:rPr>
                <w:rFonts w:ascii="Arial" w:eastAsia="Arial" w:hAnsi="Arial" w:cs="Arial"/>
                <w:b/>
                <w:sz w:val="20"/>
                <w:szCs w:val="20"/>
              </w:rPr>
              <w:t>Ganancia</w:t>
            </w:r>
          </w:p>
        </w:tc>
        <w:tc>
          <w:tcPr>
            <w:tcW w:w="1050" w:type="dxa"/>
            <w:tcBorders>
              <w:top w:val="nil"/>
              <w:left w:val="nil"/>
              <w:bottom w:val="nil"/>
              <w:right w:val="nil"/>
            </w:tcBorders>
            <w:tcMar>
              <w:top w:w="40" w:type="dxa"/>
              <w:left w:w="40" w:type="dxa"/>
              <w:bottom w:w="40" w:type="dxa"/>
              <w:right w:w="40" w:type="dxa"/>
            </w:tcMar>
            <w:vAlign w:val="bottom"/>
          </w:tcPr>
          <w:p w14:paraId="17320242"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$201.3</w:t>
            </w:r>
          </w:p>
        </w:tc>
        <w:tc>
          <w:tcPr>
            <w:tcW w:w="1050" w:type="dxa"/>
            <w:tcBorders>
              <w:top w:val="nil"/>
              <w:left w:val="nil"/>
              <w:bottom w:val="nil"/>
              <w:right w:val="nil"/>
            </w:tcBorders>
            <w:tcMar>
              <w:top w:w="40" w:type="dxa"/>
              <w:left w:w="40" w:type="dxa"/>
              <w:bottom w:w="40" w:type="dxa"/>
              <w:right w:w="40" w:type="dxa"/>
            </w:tcMar>
            <w:vAlign w:val="bottom"/>
          </w:tcPr>
          <w:p w14:paraId="63A3AF8C"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$183.9</w:t>
            </w:r>
          </w:p>
        </w:tc>
        <w:tc>
          <w:tcPr>
            <w:tcW w:w="930" w:type="dxa"/>
            <w:tcBorders>
              <w:top w:val="nil"/>
              <w:left w:val="nil"/>
              <w:bottom w:val="nil"/>
              <w:right w:val="nil"/>
            </w:tcBorders>
            <w:tcMar>
              <w:top w:w="40" w:type="dxa"/>
              <w:left w:w="40" w:type="dxa"/>
              <w:bottom w:w="40" w:type="dxa"/>
              <w:right w:w="40" w:type="dxa"/>
            </w:tcMar>
            <w:vAlign w:val="bottom"/>
          </w:tcPr>
          <w:p w14:paraId="3BABA57B"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9,4%</w:t>
            </w:r>
          </w:p>
        </w:tc>
        <w:tc>
          <w:tcPr>
            <w:tcW w:w="120" w:type="dxa"/>
            <w:tcBorders>
              <w:top w:val="nil"/>
              <w:left w:val="nil"/>
              <w:bottom w:val="nil"/>
              <w:right w:val="nil"/>
            </w:tcBorders>
            <w:tcMar>
              <w:top w:w="40" w:type="dxa"/>
              <w:left w:w="40" w:type="dxa"/>
              <w:bottom w:w="40" w:type="dxa"/>
              <w:right w:w="40" w:type="dxa"/>
            </w:tcMar>
            <w:vAlign w:val="bottom"/>
          </w:tcPr>
          <w:p w14:paraId="62486C05"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5620FE78"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$49.2</w:t>
            </w:r>
          </w:p>
        </w:tc>
        <w:tc>
          <w:tcPr>
            <w:tcW w:w="900" w:type="dxa"/>
            <w:tcBorders>
              <w:top w:val="nil"/>
              <w:left w:val="nil"/>
              <w:bottom w:val="nil"/>
              <w:right w:val="nil"/>
            </w:tcBorders>
            <w:tcMar>
              <w:top w:w="40" w:type="dxa"/>
              <w:left w:w="40" w:type="dxa"/>
              <w:bottom w:w="40" w:type="dxa"/>
              <w:right w:w="40" w:type="dxa"/>
            </w:tcMar>
            <w:vAlign w:val="bottom"/>
          </w:tcPr>
          <w:p w14:paraId="07E67CBA"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$54.2</w:t>
            </w:r>
          </w:p>
        </w:tc>
        <w:tc>
          <w:tcPr>
            <w:tcW w:w="1755" w:type="dxa"/>
            <w:tcBorders>
              <w:top w:val="nil"/>
              <w:left w:val="nil"/>
              <w:bottom w:val="nil"/>
              <w:right w:val="nil"/>
            </w:tcBorders>
            <w:tcMar>
              <w:top w:w="40" w:type="dxa"/>
              <w:left w:w="40" w:type="dxa"/>
              <w:bottom w:w="40" w:type="dxa"/>
              <w:right w:w="40" w:type="dxa"/>
            </w:tcMar>
            <w:vAlign w:val="bottom"/>
          </w:tcPr>
          <w:p w14:paraId="5880F2CD" w14:textId="7FE515D6"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(9,</w:t>
            </w:r>
            <w:r w:rsidR="3F790501" w:rsidRPr="13665272">
              <w:rPr>
                <w:rFonts w:ascii="Arial" w:eastAsia="Arial" w:hAnsi="Arial" w:cs="Arial"/>
                <w:i/>
                <w:iCs/>
                <w:sz w:val="20"/>
                <w:szCs w:val="20"/>
                <w:lang w:val="es-ES"/>
              </w:rPr>
              <w:t>2) %</w:t>
            </w:r>
          </w:p>
        </w:tc>
      </w:tr>
      <w:tr w:rsidR="00EA3950" w14:paraId="10F3B000"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438DC81A" w14:textId="2F866CFA" w:rsidR="00EA3950" w:rsidRDefault="5410A433" w:rsidP="7CCD547B">
            <w:pPr>
              <w:widowControl w:val="0"/>
              <w:spacing w:after="0" w:line="276" w:lineRule="auto"/>
              <w:rPr>
                <w:rFonts w:ascii="Arial" w:eastAsia="Arial" w:hAnsi="Arial" w:cs="Arial"/>
                <w:sz w:val="20"/>
                <w:szCs w:val="20"/>
                <w:vertAlign w:val="superscript"/>
                <w:lang w:val="es-ES"/>
              </w:rPr>
            </w:pPr>
            <w:r w:rsidRPr="13665272">
              <w:rPr>
                <w:rFonts w:ascii="Arial" w:eastAsia="Arial" w:hAnsi="Arial" w:cs="Arial"/>
                <w:b/>
                <w:bCs/>
                <w:sz w:val="20"/>
                <w:szCs w:val="20"/>
                <w:lang w:val="es-ES"/>
              </w:rPr>
              <w:t xml:space="preserve">Partido </w:t>
            </w:r>
            <w:r w:rsidR="3F963B7F" w:rsidRPr="13665272">
              <w:rPr>
                <w:rFonts w:ascii="Arial" w:eastAsia="Arial" w:hAnsi="Arial" w:cs="Arial"/>
                <w:b/>
                <w:bCs/>
                <w:sz w:val="20"/>
                <w:szCs w:val="20"/>
                <w:lang w:val="es-ES"/>
              </w:rPr>
              <w:t>Republicano (</w:t>
            </w:r>
            <w:r w:rsidRPr="13665272">
              <w:rPr>
                <w:rFonts w:ascii="Arial" w:eastAsia="Arial" w:hAnsi="Arial" w:cs="Arial"/>
                <w:b/>
                <w:bCs/>
                <w:sz w:val="20"/>
                <w:szCs w:val="20"/>
                <w:vertAlign w:val="superscript"/>
                <w:lang w:val="es-ES"/>
              </w:rPr>
              <w:t>3)</w:t>
            </w:r>
          </w:p>
        </w:tc>
        <w:tc>
          <w:tcPr>
            <w:tcW w:w="1050" w:type="dxa"/>
            <w:tcBorders>
              <w:top w:val="nil"/>
              <w:left w:val="nil"/>
              <w:bottom w:val="nil"/>
              <w:right w:val="nil"/>
            </w:tcBorders>
            <w:tcMar>
              <w:top w:w="40" w:type="dxa"/>
              <w:left w:w="40" w:type="dxa"/>
              <w:bottom w:w="40" w:type="dxa"/>
              <w:right w:w="40" w:type="dxa"/>
            </w:tcMar>
            <w:vAlign w:val="bottom"/>
          </w:tcPr>
          <w:p w14:paraId="6F9C17AF"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$48.9</w:t>
            </w:r>
          </w:p>
        </w:tc>
        <w:tc>
          <w:tcPr>
            <w:tcW w:w="1050" w:type="dxa"/>
            <w:tcBorders>
              <w:top w:val="nil"/>
              <w:left w:val="nil"/>
              <w:bottom w:val="nil"/>
              <w:right w:val="nil"/>
            </w:tcBorders>
            <w:tcMar>
              <w:top w:w="40" w:type="dxa"/>
              <w:left w:w="40" w:type="dxa"/>
              <w:bottom w:w="40" w:type="dxa"/>
              <w:right w:w="40" w:type="dxa"/>
            </w:tcMar>
            <w:vAlign w:val="bottom"/>
          </w:tcPr>
          <w:p w14:paraId="3486C381"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$35.3</w:t>
            </w:r>
          </w:p>
        </w:tc>
        <w:tc>
          <w:tcPr>
            <w:tcW w:w="930" w:type="dxa"/>
            <w:tcBorders>
              <w:top w:val="nil"/>
              <w:left w:val="nil"/>
              <w:bottom w:val="nil"/>
              <w:right w:val="nil"/>
            </w:tcBorders>
            <w:tcMar>
              <w:top w:w="40" w:type="dxa"/>
              <w:left w:w="40" w:type="dxa"/>
              <w:bottom w:w="40" w:type="dxa"/>
              <w:right w:w="40" w:type="dxa"/>
            </w:tcMar>
            <w:vAlign w:val="bottom"/>
          </w:tcPr>
          <w:p w14:paraId="480FF86A"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38,3%</w:t>
            </w:r>
          </w:p>
        </w:tc>
        <w:tc>
          <w:tcPr>
            <w:tcW w:w="120" w:type="dxa"/>
            <w:tcBorders>
              <w:top w:val="nil"/>
              <w:left w:val="nil"/>
              <w:bottom w:val="nil"/>
              <w:right w:val="nil"/>
            </w:tcBorders>
            <w:tcMar>
              <w:top w:w="40" w:type="dxa"/>
              <w:left w:w="40" w:type="dxa"/>
              <w:bottom w:w="40" w:type="dxa"/>
              <w:right w:w="40" w:type="dxa"/>
            </w:tcMar>
            <w:vAlign w:val="bottom"/>
          </w:tcPr>
          <w:p w14:paraId="4101652C"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4180BA38"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$14.0 - $15.0</w:t>
            </w:r>
          </w:p>
        </w:tc>
        <w:tc>
          <w:tcPr>
            <w:tcW w:w="900" w:type="dxa"/>
            <w:tcBorders>
              <w:top w:val="nil"/>
              <w:left w:val="nil"/>
              <w:bottom w:val="nil"/>
              <w:right w:val="nil"/>
            </w:tcBorders>
            <w:tcMar>
              <w:top w:w="40" w:type="dxa"/>
              <w:left w:w="40" w:type="dxa"/>
              <w:bottom w:w="40" w:type="dxa"/>
              <w:right w:w="40" w:type="dxa"/>
            </w:tcMar>
            <w:vAlign w:val="bottom"/>
          </w:tcPr>
          <w:p w14:paraId="206B2C9B"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$13.1</w:t>
            </w:r>
          </w:p>
        </w:tc>
        <w:tc>
          <w:tcPr>
            <w:tcW w:w="1755" w:type="dxa"/>
            <w:tcBorders>
              <w:top w:val="nil"/>
              <w:left w:val="nil"/>
              <w:bottom w:val="nil"/>
              <w:right w:val="nil"/>
            </w:tcBorders>
            <w:tcMar>
              <w:top w:w="40" w:type="dxa"/>
              <w:left w:w="40" w:type="dxa"/>
              <w:bottom w:w="40" w:type="dxa"/>
              <w:right w:w="40" w:type="dxa"/>
            </w:tcMar>
            <w:vAlign w:val="bottom"/>
          </w:tcPr>
          <w:p w14:paraId="6E149396"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11,1%</w:t>
            </w:r>
          </w:p>
        </w:tc>
      </w:tr>
      <w:tr w:rsidR="00EA3950" w14:paraId="2E74E8DF"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6D8DED5B" w14:textId="77777777" w:rsidR="00EA3950" w:rsidRDefault="0076359A">
            <w:pPr>
              <w:widowControl w:val="0"/>
              <w:spacing w:after="0" w:line="276" w:lineRule="auto"/>
              <w:rPr>
                <w:rFonts w:ascii="Arial" w:eastAsia="Arial" w:hAnsi="Arial" w:cs="Arial"/>
                <w:sz w:val="20"/>
                <w:szCs w:val="20"/>
              </w:rPr>
            </w:pPr>
            <w:r>
              <w:rPr>
                <w:rFonts w:ascii="Arial" w:eastAsia="Arial" w:hAnsi="Arial" w:cs="Arial"/>
                <w:b/>
                <w:sz w:val="20"/>
                <w:szCs w:val="20"/>
              </w:rPr>
              <w:t>Partido Republicano (%)</w:t>
            </w:r>
          </w:p>
        </w:tc>
        <w:tc>
          <w:tcPr>
            <w:tcW w:w="1050" w:type="dxa"/>
            <w:tcBorders>
              <w:top w:val="nil"/>
              <w:left w:val="nil"/>
              <w:bottom w:val="nil"/>
              <w:right w:val="nil"/>
            </w:tcBorders>
            <w:tcMar>
              <w:top w:w="40" w:type="dxa"/>
              <w:left w:w="40" w:type="dxa"/>
              <w:bottom w:w="40" w:type="dxa"/>
              <w:right w:w="40" w:type="dxa"/>
            </w:tcMar>
            <w:vAlign w:val="bottom"/>
          </w:tcPr>
          <w:p w14:paraId="4BAACA13"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24,8%</w:t>
            </w:r>
          </w:p>
        </w:tc>
        <w:tc>
          <w:tcPr>
            <w:tcW w:w="1050" w:type="dxa"/>
            <w:tcBorders>
              <w:top w:val="nil"/>
              <w:left w:val="nil"/>
              <w:bottom w:val="nil"/>
              <w:right w:val="nil"/>
            </w:tcBorders>
            <w:tcMar>
              <w:top w:w="40" w:type="dxa"/>
              <w:left w:w="40" w:type="dxa"/>
              <w:bottom w:w="40" w:type="dxa"/>
              <w:right w:w="40" w:type="dxa"/>
            </w:tcMar>
            <w:vAlign w:val="bottom"/>
          </w:tcPr>
          <w:p w14:paraId="7CBD5C2E"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20,2%</w:t>
            </w:r>
          </w:p>
        </w:tc>
        <w:tc>
          <w:tcPr>
            <w:tcW w:w="930" w:type="dxa"/>
            <w:tcBorders>
              <w:top w:val="nil"/>
              <w:left w:val="nil"/>
              <w:bottom w:val="nil"/>
              <w:right w:val="nil"/>
            </w:tcBorders>
            <w:tcMar>
              <w:top w:w="40" w:type="dxa"/>
              <w:left w:w="40" w:type="dxa"/>
              <w:bottom w:w="40" w:type="dxa"/>
              <w:right w:w="40" w:type="dxa"/>
            </w:tcMar>
            <w:vAlign w:val="bottom"/>
          </w:tcPr>
          <w:p w14:paraId="4056AD0F"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22,6%</w:t>
            </w:r>
          </w:p>
        </w:tc>
        <w:tc>
          <w:tcPr>
            <w:tcW w:w="120" w:type="dxa"/>
            <w:tcBorders>
              <w:top w:val="nil"/>
              <w:left w:val="nil"/>
              <w:bottom w:val="nil"/>
              <w:right w:val="nil"/>
            </w:tcBorders>
            <w:tcMar>
              <w:top w:w="40" w:type="dxa"/>
              <w:left w:w="40" w:type="dxa"/>
              <w:bottom w:w="40" w:type="dxa"/>
              <w:right w:w="40" w:type="dxa"/>
            </w:tcMar>
            <w:vAlign w:val="bottom"/>
          </w:tcPr>
          <w:p w14:paraId="4B99056E"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1E9B86B9"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29,4% - 31,4%</w:t>
            </w:r>
          </w:p>
        </w:tc>
        <w:tc>
          <w:tcPr>
            <w:tcW w:w="900" w:type="dxa"/>
            <w:tcBorders>
              <w:top w:val="nil"/>
              <w:left w:val="nil"/>
              <w:bottom w:val="nil"/>
              <w:right w:val="nil"/>
            </w:tcBorders>
            <w:tcMar>
              <w:top w:w="40" w:type="dxa"/>
              <w:left w:w="40" w:type="dxa"/>
              <w:bottom w:w="40" w:type="dxa"/>
              <w:right w:w="40" w:type="dxa"/>
            </w:tcMar>
            <w:vAlign w:val="bottom"/>
          </w:tcPr>
          <w:p w14:paraId="208DC385"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24,6%</w:t>
            </w:r>
          </w:p>
        </w:tc>
        <w:tc>
          <w:tcPr>
            <w:tcW w:w="1755" w:type="dxa"/>
            <w:tcBorders>
              <w:top w:val="nil"/>
              <w:left w:val="nil"/>
              <w:bottom w:val="nil"/>
              <w:right w:val="nil"/>
            </w:tcBorders>
            <w:tcMar>
              <w:top w:w="40" w:type="dxa"/>
              <w:left w:w="40" w:type="dxa"/>
              <w:bottom w:w="40" w:type="dxa"/>
              <w:right w:w="40" w:type="dxa"/>
            </w:tcMar>
            <w:vAlign w:val="bottom"/>
          </w:tcPr>
          <w:p w14:paraId="7B253FB4"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23,7%</w:t>
            </w:r>
          </w:p>
        </w:tc>
      </w:tr>
      <w:tr w:rsidR="00EA3950" w14:paraId="245030D3"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5FDCFFE8" w14:textId="77777777" w:rsidR="00EA3950" w:rsidRDefault="0076359A" w:rsidP="7CCD547B">
            <w:pPr>
              <w:widowControl w:val="0"/>
              <w:spacing w:after="0" w:line="276" w:lineRule="auto"/>
              <w:rPr>
                <w:rFonts w:ascii="Arial" w:eastAsia="Arial" w:hAnsi="Arial" w:cs="Arial"/>
                <w:sz w:val="20"/>
                <w:szCs w:val="20"/>
                <w:vertAlign w:val="superscript"/>
                <w:lang w:val="es-ES"/>
              </w:rPr>
            </w:pPr>
            <w:r w:rsidRPr="7CCD547B">
              <w:rPr>
                <w:rFonts w:ascii="Arial" w:eastAsia="Arial" w:hAnsi="Arial" w:cs="Arial"/>
                <w:b/>
                <w:bCs/>
                <w:sz w:val="20"/>
                <w:szCs w:val="20"/>
                <w:lang w:val="es-ES"/>
              </w:rPr>
              <w:t>LOCO/(LOCO)</w:t>
            </w:r>
            <w:r w:rsidRPr="7CCD547B">
              <w:rPr>
                <w:rFonts w:ascii="Arial" w:eastAsia="Arial" w:hAnsi="Arial" w:cs="Arial"/>
                <w:b/>
                <w:bCs/>
                <w:sz w:val="20"/>
                <w:szCs w:val="20"/>
                <w:vertAlign w:val="superscript"/>
                <w:lang w:val="es-ES"/>
              </w:rPr>
              <w:t>(4)</w:t>
            </w:r>
          </w:p>
        </w:tc>
        <w:tc>
          <w:tcPr>
            <w:tcW w:w="1050" w:type="dxa"/>
            <w:tcBorders>
              <w:top w:val="nil"/>
              <w:left w:val="nil"/>
              <w:bottom w:val="nil"/>
              <w:right w:val="nil"/>
            </w:tcBorders>
            <w:tcMar>
              <w:top w:w="40" w:type="dxa"/>
              <w:left w:w="40" w:type="dxa"/>
              <w:bottom w:w="40" w:type="dxa"/>
              <w:right w:w="40" w:type="dxa"/>
            </w:tcMar>
            <w:vAlign w:val="bottom"/>
          </w:tcPr>
          <w:p w14:paraId="67402279"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($14.6)</w:t>
            </w:r>
          </w:p>
        </w:tc>
        <w:tc>
          <w:tcPr>
            <w:tcW w:w="1050" w:type="dxa"/>
            <w:tcBorders>
              <w:top w:val="nil"/>
              <w:left w:val="nil"/>
              <w:bottom w:val="nil"/>
              <w:right w:val="nil"/>
            </w:tcBorders>
            <w:tcMar>
              <w:top w:w="40" w:type="dxa"/>
              <w:left w:w="40" w:type="dxa"/>
              <w:bottom w:w="40" w:type="dxa"/>
              <w:right w:w="40" w:type="dxa"/>
            </w:tcMar>
            <w:vAlign w:val="bottom"/>
          </w:tcPr>
          <w:p w14:paraId="7B0CFFB4"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($6.7)</w:t>
            </w:r>
          </w:p>
        </w:tc>
        <w:tc>
          <w:tcPr>
            <w:tcW w:w="930" w:type="dxa"/>
            <w:tcBorders>
              <w:top w:val="nil"/>
              <w:left w:val="nil"/>
              <w:bottom w:val="nil"/>
              <w:right w:val="nil"/>
            </w:tcBorders>
            <w:tcMar>
              <w:top w:w="40" w:type="dxa"/>
              <w:left w:w="40" w:type="dxa"/>
              <w:bottom w:w="40" w:type="dxa"/>
              <w:right w:w="40" w:type="dxa"/>
            </w:tcMar>
            <w:vAlign w:val="bottom"/>
          </w:tcPr>
          <w:p w14:paraId="1308FB7D" w14:textId="5E82A6CE"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(117,</w:t>
            </w:r>
            <w:r w:rsidR="7FEA7E35" w:rsidRPr="13665272">
              <w:rPr>
                <w:rFonts w:ascii="Arial" w:eastAsia="Arial" w:hAnsi="Arial" w:cs="Arial"/>
                <w:i/>
                <w:iCs/>
                <w:sz w:val="20"/>
                <w:szCs w:val="20"/>
                <w:lang w:val="es-ES"/>
              </w:rPr>
              <w:t>8)</w:t>
            </w:r>
            <w:r w:rsidR="063D1451" w:rsidRPr="13665272">
              <w:rPr>
                <w:rFonts w:ascii="Arial" w:eastAsia="Arial" w:hAnsi="Arial" w:cs="Arial"/>
                <w:i/>
                <w:iCs/>
                <w:sz w:val="20"/>
                <w:szCs w:val="20"/>
                <w:lang w:val="es-ES"/>
              </w:rPr>
              <w:t xml:space="preserve"> </w:t>
            </w:r>
            <w:r w:rsidR="7FEA7E35" w:rsidRPr="13665272">
              <w:rPr>
                <w:rFonts w:ascii="Arial" w:eastAsia="Arial" w:hAnsi="Arial" w:cs="Arial"/>
                <w:i/>
                <w:iCs/>
                <w:sz w:val="20"/>
                <w:szCs w:val="20"/>
                <w:lang w:val="es-ES"/>
              </w:rPr>
              <w:t>%</w:t>
            </w:r>
          </w:p>
        </w:tc>
        <w:tc>
          <w:tcPr>
            <w:tcW w:w="120" w:type="dxa"/>
            <w:tcBorders>
              <w:top w:val="nil"/>
              <w:left w:val="nil"/>
              <w:bottom w:val="nil"/>
              <w:right w:val="nil"/>
            </w:tcBorders>
            <w:tcMar>
              <w:top w:w="40" w:type="dxa"/>
              <w:left w:w="40" w:type="dxa"/>
              <w:bottom w:w="40" w:type="dxa"/>
              <w:right w:w="40" w:type="dxa"/>
            </w:tcMar>
            <w:vAlign w:val="bottom"/>
          </w:tcPr>
          <w:p w14:paraId="1299C43A"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0CFEBE87"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$0 - $0,3</w:t>
            </w:r>
          </w:p>
        </w:tc>
        <w:tc>
          <w:tcPr>
            <w:tcW w:w="900" w:type="dxa"/>
            <w:tcBorders>
              <w:top w:val="nil"/>
              <w:left w:val="nil"/>
              <w:bottom w:val="nil"/>
              <w:right w:val="nil"/>
            </w:tcBorders>
            <w:tcMar>
              <w:top w:w="40" w:type="dxa"/>
              <w:left w:w="40" w:type="dxa"/>
              <w:bottom w:w="40" w:type="dxa"/>
              <w:right w:w="40" w:type="dxa"/>
            </w:tcMar>
            <w:vAlign w:val="bottom"/>
          </w:tcPr>
          <w:p w14:paraId="0F3C2405"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($0,9)</w:t>
            </w:r>
          </w:p>
        </w:tc>
        <w:tc>
          <w:tcPr>
            <w:tcW w:w="1755" w:type="dxa"/>
            <w:tcBorders>
              <w:top w:val="nil"/>
              <w:left w:val="nil"/>
              <w:bottom w:val="nil"/>
              <w:right w:val="nil"/>
            </w:tcBorders>
            <w:tcMar>
              <w:top w:w="40" w:type="dxa"/>
              <w:left w:w="40" w:type="dxa"/>
              <w:bottom w:w="40" w:type="dxa"/>
              <w:right w:w="40" w:type="dxa"/>
            </w:tcMar>
            <w:vAlign w:val="bottom"/>
          </w:tcPr>
          <w:p w14:paraId="0C9E6B53"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115,8%</w:t>
            </w:r>
          </w:p>
        </w:tc>
      </w:tr>
      <w:tr w:rsidR="00EA3950" w14:paraId="71DB8E98" w14:textId="77777777" w:rsidTr="13665272">
        <w:trPr>
          <w:trHeight w:val="315"/>
        </w:trPr>
        <w:tc>
          <w:tcPr>
            <w:tcW w:w="2880" w:type="dxa"/>
            <w:tcBorders>
              <w:top w:val="nil"/>
              <w:left w:val="nil"/>
              <w:bottom w:val="nil"/>
              <w:right w:val="nil"/>
            </w:tcBorders>
            <w:tcMar>
              <w:top w:w="40" w:type="dxa"/>
              <w:left w:w="40" w:type="dxa"/>
              <w:bottom w:w="40" w:type="dxa"/>
              <w:right w:w="40" w:type="dxa"/>
            </w:tcMar>
            <w:vAlign w:val="bottom"/>
          </w:tcPr>
          <w:p w14:paraId="56ABF7E8" w14:textId="78C22B31" w:rsidR="00EA3950" w:rsidRDefault="758FE864" w:rsidP="7CCD547B">
            <w:pPr>
              <w:widowControl w:val="0"/>
              <w:spacing w:after="0" w:line="276" w:lineRule="auto"/>
              <w:rPr>
                <w:rFonts w:ascii="Arial" w:eastAsia="Arial" w:hAnsi="Arial" w:cs="Arial"/>
                <w:sz w:val="20"/>
                <w:szCs w:val="20"/>
                <w:lang w:val="es-ES"/>
              </w:rPr>
            </w:pPr>
            <w:r w:rsidRPr="13665272">
              <w:rPr>
                <w:rFonts w:ascii="Arial" w:eastAsia="Arial" w:hAnsi="Arial" w:cs="Arial"/>
                <w:b/>
                <w:bCs/>
                <w:sz w:val="20"/>
                <w:szCs w:val="20"/>
                <w:lang w:val="es-ES"/>
              </w:rPr>
              <w:t>COH (</w:t>
            </w:r>
            <w:r w:rsidR="5410A433" w:rsidRPr="13665272">
              <w:rPr>
                <w:rFonts w:ascii="Arial" w:eastAsia="Arial" w:hAnsi="Arial" w:cs="Arial"/>
                <w:b/>
                <w:bCs/>
                <w:sz w:val="20"/>
                <w:szCs w:val="20"/>
                <w:vertAlign w:val="superscript"/>
                <w:lang w:val="es-ES"/>
              </w:rPr>
              <w:t>5)</w:t>
            </w:r>
          </w:p>
        </w:tc>
        <w:tc>
          <w:tcPr>
            <w:tcW w:w="1050" w:type="dxa"/>
            <w:tcBorders>
              <w:top w:val="nil"/>
              <w:left w:val="nil"/>
              <w:bottom w:val="nil"/>
              <w:right w:val="nil"/>
            </w:tcBorders>
            <w:tcMar>
              <w:top w:w="40" w:type="dxa"/>
              <w:left w:w="40" w:type="dxa"/>
              <w:bottom w:w="40" w:type="dxa"/>
              <w:right w:w="40" w:type="dxa"/>
            </w:tcMar>
            <w:vAlign w:val="bottom"/>
          </w:tcPr>
          <w:p w14:paraId="060C7A0B"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$38.1</w:t>
            </w:r>
          </w:p>
        </w:tc>
        <w:tc>
          <w:tcPr>
            <w:tcW w:w="1050" w:type="dxa"/>
            <w:tcBorders>
              <w:top w:val="nil"/>
              <w:left w:val="nil"/>
              <w:bottom w:val="nil"/>
              <w:right w:val="nil"/>
            </w:tcBorders>
            <w:tcMar>
              <w:top w:w="40" w:type="dxa"/>
              <w:left w:w="40" w:type="dxa"/>
              <w:bottom w:w="40" w:type="dxa"/>
              <w:right w:w="40" w:type="dxa"/>
            </w:tcMar>
            <w:vAlign w:val="bottom"/>
          </w:tcPr>
          <w:p w14:paraId="69239123"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$37.9</w:t>
            </w:r>
          </w:p>
        </w:tc>
        <w:tc>
          <w:tcPr>
            <w:tcW w:w="930" w:type="dxa"/>
            <w:tcBorders>
              <w:top w:val="nil"/>
              <w:left w:val="nil"/>
              <w:bottom w:val="nil"/>
              <w:right w:val="nil"/>
            </w:tcBorders>
            <w:tcMar>
              <w:top w:w="40" w:type="dxa"/>
              <w:left w:w="40" w:type="dxa"/>
              <w:bottom w:w="40" w:type="dxa"/>
              <w:right w:w="40" w:type="dxa"/>
            </w:tcMar>
            <w:vAlign w:val="bottom"/>
          </w:tcPr>
          <w:p w14:paraId="46CDB5C3" w14:textId="3B02D411" w:rsidR="00EA3950" w:rsidRDefault="5410A433" w:rsidP="13665272">
            <w:pPr>
              <w:widowControl w:val="0"/>
              <w:spacing w:after="0" w:line="276" w:lineRule="auto"/>
              <w:jc w:val="center"/>
              <w:rPr>
                <w:rFonts w:ascii="Arial" w:eastAsia="Arial" w:hAnsi="Arial" w:cs="Arial"/>
                <w:i/>
                <w:iCs/>
                <w:sz w:val="20"/>
                <w:szCs w:val="20"/>
                <w:lang w:val="es-ES"/>
              </w:rPr>
            </w:pPr>
            <w:r w:rsidRPr="13665272">
              <w:rPr>
                <w:rFonts w:ascii="Arial" w:eastAsia="Arial" w:hAnsi="Arial" w:cs="Arial"/>
                <w:i/>
                <w:iCs/>
                <w:sz w:val="20"/>
                <w:szCs w:val="20"/>
                <w:lang w:val="es-ES"/>
              </w:rPr>
              <w:t>(0,7)</w:t>
            </w:r>
            <w:r w:rsidR="1E3D4257" w:rsidRPr="13665272">
              <w:rPr>
                <w:rFonts w:ascii="Arial" w:eastAsia="Arial" w:hAnsi="Arial" w:cs="Arial"/>
                <w:i/>
                <w:iCs/>
                <w:sz w:val="20"/>
                <w:szCs w:val="20"/>
                <w:lang w:val="es-ES"/>
              </w:rPr>
              <w:t xml:space="preserve"> </w:t>
            </w:r>
            <w:r w:rsidRPr="13665272">
              <w:rPr>
                <w:rFonts w:ascii="Arial" w:eastAsia="Arial" w:hAnsi="Arial" w:cs="Arial"/>
                <w:i/>
                <w:iCs/>
                <w:sz w:val="20"/>
                <w:szCs w:val="20"/>
                <w:lang w:val="es-ES"/>
              </w:rPr>
              <w:t>%</w:t>
            </w:r>
          </w:p>
        </w:tc>
        <w:tc>
          <w:tcPr>
            <w:tcW w:w="120" w:type="dxa"/>
            <w:tcBorders>
              <w:top w:val="nil"/>
              <w:left w:val="nil"/>
              <w:bottom w:val="nil"/>
              <w:right w:val="nil"/>
            </w:tcBorders>
            <w:tcMar>
              <w:top w:w="40" w:type="dxa"/>
              <w:left w:w="40" w:type="dxa"/>
              <w:bottom w:w="40" w:type="dxa"/>
              <w:right w:w="40" w:type="dxa"/>
            </w:tcMar>
            <w:vAlign w:val="bottom"/>
          </w:tcPr>
          <w:p w14:paraId="4DDBEF00" w14:textId="77777777" w:rsidR="00EA3950" w:rsidRDefault="00EA3950">
            <w:pPr>
              <w:widowControl w:val="0"/>
              <w:spacing w:after="0" w:line="276" w:lineRule="auto"/>
              <w:rPr>
                <w:rFonts w:ascii="Arial" w:eastAsia="Arial" w:hAnsi="Arial" w:cs="Arial"/>
                <w:sz w:val="20"/>
                <w:szCs w:val="20"/>
              </w:rPr>
            </w:pPr>
          </w:p>
        </w:tc>
        <w:tc>
          <w:tcPr>
            <w:tcW w:w="1500" w:type="dxa"/>
            <w:tcBorders>
              <w:top w:val="nil"/>
              <w:left w:val="nil"/>
              <w:bottom w:val="nil"/>
              <w:right w:val="nil"/>
            </w:tcBorders>
            <w:tcMar>
              <w:top w:w="40" w:type="dxa"/>
              <w:left w:w="40" w:type="dxa"/>
              <w:bottom w:w="40" w:type="dxa"/>
              <w:right w:w="40" w:type="dxa"/>
            </w:tcMar>
            <w:vAlign w:val="bottom"/>
          </w:tcPr>
          <w:p w14:paraId="656C79C0" w14:textId="77777777" w:rsidR="00EA3950" w:rsidRDefault="0076359A">
            <w:pPr>
              <w:widowControl w:val="0"/>
              <w:spacing w:after="0" w:line="276" w:lineRule="auto"/>
              <w:jc w:val="center"/>
              <w:rPr>
                <w:rFonts w:ascii="Arial" w:eastAsia="Arial" w:hAnsi="Arial" w:cs="Arial"/>
                <w:b/>
                <w:sz w:val="20"/>
                <w:szCs w:val="20"/>
              </w:rPr>
            </w:pPr>
            <w:r>
              <w:rPr>
                <w:rFonts w:ascii="Arial" w:eastAsia="Arial" w:hAnsi="Arial" w:cs="Arial"/>
                <w:b/>
                <w:sz w:val="20"/>
                <w:szCs w:val="20"/>
              </w:rPr>
              <w:t>$5.5 - $6.5</w:t>
            </w:r>
          </w:p>
        </w:tc>
        <w:tc>
          <w:tcPr>
            <w:tcW w:w="900" w:type="dxa"/>
            <w:tcBorders>
              <w:top w:val="nil"/>
              <w:left w:val="nil"/>
              <w:bottom w:val="nil"/>
              <w:right w:val="nil"/>
            </w:tcBorders>
            <w:tcMar>
              <w:top w:w="40" w:type="dxa"/>
              <w:left w:w="40" w:type="dxa"/>
              <w:bottom w:w="40" w:type="dxa"/>
              <w:right w:w="40" w:type="dxa"/>
            </w:tcMar>
            <w:vAlign w:val="bottom"/>
          </w:tcPr>
          <w:p w14:paraId="74E31D56" w14:textId="77777777" w:rsidR="00EA3950" w:rsidRDefault="0076359A">
            <w:pPr>
              <w:widowControl w:val="0"/>
              <w:spacing w:after="0" w:line="276" w:lineRule="auto"/>
              <w:jc w:val="center"/>
              <w:rPr>
                <w:rFonts w:ascii="Arial" w:eastAsia="Arial" w:hAnsi="Arial" w:cs="Arial"/>
                <w:sz w:val="20"/>
                <w:szCs w:val="20"/>
              </w:rPr>
            </w:pPr>
            <w:r>
              <w:rPr>
                <w:rFonts w:ascii="Arial" w:eastAsia="Arial" w:hAnsi="Arial" w:cs="Arial"/>
                <w:sz w:val="20"/>
                <w:szCs w:val="20"/>
              </w:rPr>
              <w:t>$9.8</w:t>
            </w:r>
          </w:p>
        </w:tc>
        <w:tc>
          <w:tcPr>
            <w:tcW w:w="1755" w:type="dxa"/>
            <w:tcBorders>
              <w:top w:val="nil"/>
              <w:left w:val="nil"/>
              <w:bottom w:val="nil"/>
              <w:right w:val="nil"/>
            </w:tcBorders>
            <w:tcMar>
              <w:top w:w="40" w:type="dxa"/>
              <w:left w:w="40" w:type="dxa"/>
              <w:bottom w:w="40" w:type="dxa"/>
              <w:right w:w="40" w:type="dxa"/>
            </w:tcMar>
            <w:vAlign w:val="bottom"/>
          </w:tcPr>
          <w:p w14:paraId="45488559" w14:textId="77777777" w:rsidR="00EA3950" w:rsidRDefault="0076359A">
            <w:pPr>
              <w:widowControl w:val="0"/>
              <w:spacing w:after="0" w:line="276" w:lineRule="auto"/>
              <w:jc w:val="center"/>
              <w:rPr>
                <w:rFonts w:ascii="Arial" w:eastAsia="Arial" w:hAnsi="Arial" w:cs="Arial"/>
                <w:i/>
                <w:sz w:val="20"/>
                <w:szCs w:val="20"/>
              </w:rPr>
            </w:pPr>
            <w:r>
              <w:rPr>
                <w:rFonts w:ascii="Arial" w:eastAsia="Arial" w:hAnsi="Arial" w:cs="Arial"/>
                <w:i/>
                <w:sz w:val="20"/>
                <w:szCs w:val="20"/>
              </w:rPr>
              <w:t>38,8%</w:t>
            </w:r>
          </w:p>
        </w:tc>
      </w:tr>
    </w:tbl>
    <w:p w14:paraId="3461D779" w14:textId="77777777" w:rsidR="00EA3950" w:rsidRDefault="00EA3950">
      <w:pPr>
        <w:pBdr>
          <w:top w:val="nil"/>
          <w:left w:val="nil"/>
          <w:bottom w:val="nil"/>
          <w:right w:val="nil"/>
          <w:between w:val="nil"/>
        </w:pBdr>
        <w:spacing w:after="0" w:line="240" w:lineRule="auto"/>
        <w:jc w:val="both"/>
        <w:rPr>
          <w:b/>
        </w:rPr>
      </w:pPr>
    </w:p>
    <w:p w14:paraId="4357F16A" w14:textId="2E044FE3" w:rsidR="13665272" w:rsidRDefault="13665272" w:rsidP="13665272">
      <w:pPr>
        <w:spacing w:after="0" w:line="240" w:lineRule="auto"/>
        <w:jc w:val="both"/>
        <w:rPr>
          <w:b/>
          <w:bCs/>
        </w:rPr>
      </w:pPr>
    </w:p>
    <w:p w14:paraId="0CA15B21" w14:textId="77777777" w:rsidR="00EA3950" w:rsidRDefault="0076359A">
      <w:pPr>
        <w:spacing w:after="0" w:line="240" w:lineRule="auto"/>
        <w:jc w:val="both"/>
        <w:rPr>
          <w:b/>
        </w:rPr>
      </w:pPr>
      <w:r>
        <w:rPr>
          <w:b/>
        </w:rPr>
        <w:t>Aspectos financieros más destacados:</w:t>
      </w:r>
    </w:p>
    <w:p w14:paraId="0A97F5E3" w14:textId="7CAF600B" w:rsidR="00EA3950" w:rsidRDefault="5410A433">
      <w:pPr>
        <w:numPr>
          <w:ilvl w:val="0"/>
          <w:numId w:val="2"/>
        </w:numPr>
        <w:spacing w:before="80" w:after="60" w:line="240" w:lineRule="auto"/>
        <w:jc w:val="both"/>
      </w:pPr>
      <w:r w:rsidRPr="13665272">
        <w:rPr>
          <w:lang w:val="es-ES"/>
        </w:rPr>
        <w:t xml:space="preserve">Los ingresos totales aumentaron un 9,4 % a 201,3 millones de dólares para el año fiscal 2023 en comparación con el año fiscal 2022, impulsado por mayores tasas de </w:t>
      </w:r>
      <w:r w:rsidR="02750330" w:rsidRPr="13665272">
        <w:rPr>
          <w:lang w:val="es-ES"/>
        </w:rPr>
        <w:t xml:space="preserve">ocupación </w:t>
      </w:r>
      <w:r w:rsidR="45DF9B65" w:rsidRPr="13665272">
        <w:rPr>
          <w:vertAlign w:val="superscript"/>
          <w:lang w:val="es-ES"/>
        </w:rPr>
        <w:t>(</w:t>
      </w:r>
      <w:r w:rsidRPr="13665272">
        <w:rPr>
          <w:vertAlign w:val="superscript"/>
          <w:lang w:val="es-ES"/>
        </w:rPr>
        <w:t>1)</w:t>
      </w:r>
      <w:r w:rsidRPr="13665272">
        <w:rPr>
          <w:lang w:val="es-ES"/>
        </w:rPr>
        <w:t xml:space="preserve"> y mayores ingresos totales anualizados por espacio de </w:t>
      </w:r>
      <w:r w:rsidR="7D877F35" w:rsidRPr="13665272">
        <w:rPr>
          <w:lang w:val="es-ES"/>
        </w:rPr>
        <w:t xml:space="preserve">cama </w:t>
      </w:r>
      <w:r w:rsidR="49391F53" w:rsidRPr="13665272">
        <w:rPr>
          <w:vertAlign w:val="superscript"/>
          <w:lang w:val="es-ES"/>
        </w:rPr>
        <w:t>(</w:t>
      </w:r>
      <w:r w:rsidRPr="13665272">
        <w:rPr>
          <w:vertAlign w:val="superscript"/>
          <w:lang w:val="es-ES"/>
        </w:rPr>
        <w:t>2)</w:t>
      </w:r>
      <w:r w:rsidRPr="13665272">
        <w:rPr>
          <w:lang w:val="es-ES"/>
        </w:rPr>
        <w:t>.</w:t>
      </w:r>
    </w:p>
    <w:p w14:paraId="455F444D" w14:textId="77777777" w:rsidR="00EA3950" w:rsidRDefault="0076359A">
      <w:pPr>
        <w:numPr>
          <w:ilvl w:val="0"/>
          <w:numId w:val="2"/>
        </w:numPr>
        <w:spacing w:before="80" w:after="60" w:line="240" w:lineRule="auto"/>
        <w:jc w:val="both"/>
      </w:pPr>
      <w:r>
        <w:t>Se espera que los ingresos totales disminuyan un 9,2% en el primer trimestre de 2024 frente al primer trimestre de 2023 ($49,2 millones frente a $54,2 millones) debido principalmente a la salida de propiedades de bajo rendimiento.</w:t>
      </w:r>
    </w:p>
    <w:p w14:paraId="796597E8" w14:textId="4FA170CE" w:rsidR="00EA3950" w:rsidRDefault="6EA12CF6" w:rsidP="13665272">
      <w:pPr>
        <w:numPr>
          <w:ilvl w:val="0"/>
          <w:numId w:val="2"/>
        </w:numPr>
        <w:spacing w:before="80" w:after="60" w:line="240" w:lineRule="auto"/>
        <w:jc w:val="both"/>
        <w:rPr>
          <w:lang w:val="es-ES"/>
        </w:rPr>
      </w:pPr>
      <w:r w:rsidRPr="13665272">
        <w:rPr>
          <w:lang w:val="es-ES"/>
        </w:rPr>
        <w:t xml:space="preserve">Ocupación </w:t>
      </w:r>
      <w:r w:rsidR="29216C16" w:rsidRPr="13665272">
        <w:rPr>
          <w:vertAlign w:val="superscript"/>
          <w:lang w:val="es-ES"/>
        </w:rPr>
        <w:t>(</w:t>
      </w:r>
      <w:r w:rsidR="5410A433" w:rsidRPr="13665272">
        <w:rPr>
          <w:rFonts w:ascii="Arial" w:eastAsia="Arial" w:hAnsi="Arial" w:cs="Arial"/>
          <w:b/>
          <w:bCs/>
          <w:sz w:val="20"/>
          <w:szCs w:val="20"/>
          <w:vertAlign w:val="superscript"/>
          <w:lang w:val="es-ES"/>
        </w:rPr>
        <w:t>1)</w:t>
      </w:r>
      <w:r w:rsidR="5410A433" w:rsidRPr="13665272">
        <w:rPr>
          <w:lang w:val="es-ES"/>
        </w:rPr>
        <w:t xml:space="preserve"> tasa del 57,4% en el primer trimestre de 2024, un aumento del 1% con respecto al primer trimestre de 2023, creciendo cada mes durante el trimestre. </w:t>
      </w:r>
      <w:r w:rsidR="4AB15447" w:rsidRPr="13665272">
        <w:rPr>
          <w:lang w:val="es-ES"/>
        </w:rPr>
        <w:t>El lanzamiento de nuestro equipo de liderazgo y la estrategia comercial formal y sólida de Selina impulsó nuestro progreso continuo para aumentar la ocupación hacia nuestro objetivo del 58% en 2024.</w:t>
      </w:r>
      <w:r w:rsidR="5410A433" w:rsidRPr="13665272">
        <w:rPr>
          <w:lang w:val="es-ES"/>
        </w:rPr>
        <w:t xml:space="preserve"> Además, la Compañía se centró en atraer nuevos huéspedes a través de nuevos canales de distribución, así como en generar tráfico direc</w:t>
      </w:r>
      <w:r w:rsidR="5117EAAB" w:rsidRPr="13665272">
        <w:rPr>
          <w:lang w:val="es-ES"/>
        </w:rPr>
        <w:t>to</w:t>
      </w:r>
      <w:r w:rsidR="5410A433" w:rsidRPr="13665272">
        <w:rPr>
          <w:lang w:val="es-ES"/>
        </w:rPr>
        <w:t xml:space="preserve"> a trav</w:t>
      </w:r>
      <w:r w:rsidR="5085AA92" w:rsidRPr="13665272">
        <w:rPr>
          <w:lang w:val="es-ES"/>
        </w:rPr>
        <w:t>és del</w:t>
      </w:r>
      <w:r w:rsidR="5410A433" w:rsidRPr="13665272">
        <w:rPr>
          <w:lang w:val="es-ES"/>
        </w:rPr>
        <w:t xml:space="preserve"> sitio web y la aplicación de reserva</w:t>
      </w:r>
      <w:r w:rsidR="5A2E3511" w:rsidRPr="13665272">
        <w:rPr>
          <w:lang w:val="es-ES"/>
        </w:rPr>
        <w:t>ciones</w:t>
      </w:r>
      <w:r w:rsidR="5410A433" w:rsidRPr="13665272">
        <w:rPr>
          <w:lang w:val="es-ES"/>
        </w:rPr>
        <w:t xml:space="preserve"> de Selina.</w:t>
      </w:r>
    </w:p>
    <w:p w14:paraId="679F2C57" w14:textId="22591C84" w:rsidR="00EA3950" w:rsidRDefault="5410A433">
      <w:pPr>
        <w:numPr>
          <w:ilvl w:val="0"/>
          <w:numId w:val="2"/>
        </w:numPr>
        <w:spacing w:before="80" w:after="60" w:line="240" w:lineRule="auto"/>
        <w:jc w:val="both"/>
      </w:pPr>
      <w:r w:rsidRPr="13665272">
        <w:rPr>
          <w:lang w:val="es-ES"/>
        </w:rPr>
        <w:t>Progreso continuo en</w:t>
      </w:r>
      <w:r w:rsidR="6D98CEDD" w:rsidRPr="13665272">
        <w:rPr>
          <w:lang w:val="es-ES"/>
        </w:rPr>
        <w:t xml:space="preserve"> desinversión de propiedades de</w:t>
      </w:r>
      <w:r w:rsidRPr="13665272">
        <w:rPr>
          <w:lang w:val="es-ES"/>
        </w:rPr>
        <w:t xml:space="preserve"> bajo rendimiento. La Compañía salió de 17 propiedades hoteleras desde enero de 2023 hasta el 30 de abril de 2024. Esto incluyó nueve en 2023, tres en el primer trimestre de 2024 y cinco en el segundo trimestre de 2024 hasta la fecha. Estas 17 propiedades tenían aproximadamente 4</w:t>
      </w:r>
      <w:r w:rsidR="21E82EC5" w:rsidRPr="13665272">
        <w:rPr>
          <w:lang w:val="es-ES"/>
        </w:rPr>
        <w:t>,</w:t>
      </w:r>
      <w:r w:rsidRPr="13665272">
        <w:rPr>
          <w:lang w:val="es-ES"/>
        </w:rPr>
        <w:t>000 espacios para dormir y se espera que los ahorros anualizados de estos cierres compensen aproximadamente el 70% del ULOL de la Compañía de 2023</w:t>
      </w:r>
      <w:r w:rsidRPr="13665272">
        <w:rPr>
          <w:vertAlign w:val="superscript"/>
          <w:lang w:val="es-ES"/>
        </w:rPr>
        <w:t>(3)</w:t>
      </w:r>
      <w:r w:rsidRPr="13665272">
        <w:rPr>
          <w:lang w:val="es-ES"/>
        </w:rPr>
        <w:t>.</w:t>
      </w:r>
    </w:p>
    <w:p w14:paraId="1D63D0D5" w14:textId="77777777" w:rsidR="00EA3950" w:rsidRDefault="0076359A">
      <w:pPr>
        <w:numPr>
          <w:ilvl w:val="0"/>
          <w:numId w:val="2"/>
        </w:numPr>
        <w:spacing w:before="80" w:after="60" w:line="240" w:lineRule="auto"/>
        <w:jc w:val="both"/>
      </w:pPr>
      <w:r>
        <w:t>Al 30 de abril de 2024, la Compañía cuenta con 102 hoteles abiertos, en 22 países y 6 continentes. Para el año fiscal 2023, la ocupación de estos 102 hoteles fue del 52,3%.</w:t>
      </w:r>
    </w:p>
    <w:p w14:paraId="5652B59D" w14:textId="7D281616" w:rsidR="00EA3950" w:rsidRDefault="5410A433" w:rsidP="7CCD547B">
      <w:pPr>
        <w:numPr>
          <w:ilvl w:val="0"/>
          <w:numId w:val="2"/>
        </w:numPr>
        <w:spacing w:before="80" w:after="60" w:line="240" w:lineRule="auto"/>
        <w:jc w:val="both"/>
        <w:rPr>
          <w:lang w:val="es-ES"/>
        </w:rPr>
      </w:pPr>
      <w:r w:rsidRPr="13665272">
        <w:rPr>
          <w:lang w:val="es-ES"/>
        </w:rPr>
        <w:t>Partido Republicano</w:t>
      </w:r>
      <w:r w:rsidR="23430446" w:rsidRPr="13665272">
        <w:rPr>
          <w:lang w:val="es-ES"/>
        </w:rPr>
        <w:t xml:space="preserve"> </w:t>
      </w:r>
      <w:r w:rsidRPr="13665272">
        <w:rPr>
          <w:rFonts w:ascii="Arial" w:eastAsia="Arial" w:hAnsi="Arial" w:cs="Arial"/>
          <w:b/>
          <w:bCs/>
          <w:sz w:val="20"/>
          <w:szCs w:val="20"/>
          <w:vertAlign w:val="superscript"/>
          <w:lang w:val="es-ES"/>
        </w:rPr>
        <w:t>(3)</w:t>
      </w:r>
      <w:r w:rsidR="7EC2F9DF" w:rsidRPr="13665272">
        <w:rPr>
          <w:rFonts w:ascii="Arial" w:eastAsia="Arial" w:hAnsi="Arial" w:cs="Arial"/>
          <w:b/>
          <w:bCs/>
          <w:sz w:val="20"/>
          <w:szCs w:val="20"/>
          <w:vertAlign w:val="superscript"/>
          <w:lang w:val="es-ES"/>
        </w:rPr>
        <w:t xml:space="preserve">. </w:t>
      </w:r>
      <w:r w:rsidRPr="13665272">
        <w:rPr>
          <w:lang w:val="es-ES"/>
        </w:rPr>
        <w:t xml:space="preserve">El margen aumentó un 22,6%, alcanzando el 24,8% en el año fiscal 2023 desde el 20,2% en el año fiscal 2022. Además, en el primer trimestre de 2024, se espera que el margen del GOP aumente aproximadamente un 24%, del 29,4% al 31,4%, en comparación con el 24,6% en Primer trimestre de 2023. </w:t>
      </w:r>
      <w:r w:rsidR="3A10F763" w:rsidRPr="13665272">
        <w:rPr>
          <w:lang w:val="es-ES"/>
        </w:rPr>
        <w:t>Esta mejora la impulsó el proceso de reestructuración operativa de 2023 y el enfoque continuo en la optimización de costos.</w:t>
      </w:r>
    </w:p>
    <w:p w14:paraId="7E23DAC2" w14:textId="371B1215" w:rsidR="00EA3950" w:rsidRDefault="5410A433">
      <w:pPr>
        <w:numPr>
          <w:ilvl w:val="0"/>
          <w:numId w:val="2"/>
        </w:numPr>
        <w:spacing w:before="80" w:after="60" w:line="240" w:lineRule="auto"/>
        <w:jc w:val="both"/>
      </w:pPr>
      <w:r w:rsidRPr="13665272">
        <w:rPr>
          <w:lang w:val="es-ES"/>
        </w:rPr>
        <w:t>COH</w:t>
      </w:r>
      <w:r w:rsidR="6B8125CC" w:rsidRPr="13665272">
        <w:rPr>
          <w:lang w:val="es-ES"/>
        </w:rPr>
        <w:t xml:space="preserve"> </w:t>
      </w:r>
      <w:r w:rsidRPr="13665272">
        <w:rPr>
          <w:rFonts w:ascii="Arial" w:eastAsia="Arial" w:hAnsi="Arial" w:cs="Arial"/>
          <w:b/>
          <w:bCs/>
          <w:sz w:val="20"/>
          <w:szCs w:val="20"/>
          <w:vertAlign w:val="superscript"/>
          <w:lang w:val="es-ES"/>
        </w:rPr>
        <w:t>(5)</w:t>
      </w:r>
      <w:r w:rsidRPr="13665272">
        <w:rPr>
          <w:lang w:val="es-ES"/>
        </w:rPr>
        <w:t xml:space="preserve"> Se espera que disminuya de $9,8 millones en el primer trimestre de 2023 a $5,5 a $6,5 millones en el primer trimestre de 2024, lo que representa una disminución del 38,8%, impulsada principalmente por la reestructuración laboral llevada a cabo en el cuarto trimestre de 2023 y el primer trimestre de 2024, la reducción de los compromisos de las oficinas corporativas en el Reino Unido, Estados Unidos y Panamá e Israel, y planes generales de reducción de costos en funciones globales.</w:t>
      </w:r>
    </w:p>
    <w:p w14:paraId="3CF2D8B6" w14:textId="77777777" w:rsidR="00EA3950" w:rsidRDefault="00EA3950">
      <w:pPr>
        <w:spacing w:before="80" w:after="60" w:line="240" w:lineRule="auto"/>
        <w:jc w:val="both"/>
      </w:pPr>
    </w:p>
    <w:p w14:paraId="0FB78278" w14:textId="3233C7CB" w:rsidR="00EA3950" w:rsidRDefault="5410A433" w:rsidP="13665272">
      <w:pPr>
        <w:spacing w:after="0" w:line="240" w:lineRule="auto"/>
        <w:jc w:val="both"/>
        <w:rPr>
          <w:b/>
          <w:bCs/>
        </w:rPr>
      </w:pPr>
      <w:r w:rsidRPr="13665272">
        <w:rPr>
          <w:b/>
          <w:bCs/>
        </w:rPr>
        <w:t>Aspectos destacados operativos:</w:t>
      </w:r>
    </w:p>
    <w:p w14:paraId="69FAC8AA" w14:textId="6959E9DE" w:rsidR="00EA3950" w:rsidRDefault="5410A433" w:rsidP="13665272">
      <w:pPr>
        <w:numPr>
          <w:ilvl w:val="0"/>
          <w:numId w:val="2"/>
        </w:numPr>
        <w:spacing w:before="80" w:after="60" w:line="240" w:lineRule="auto"/>
        <w:jc w:val="both"/>
        <w:rPr>
          <w:vertAlign w:val="superscript"/>
          <w:lang w:val="es-ES"/>
        </w:rPr>
      </w:pPr>
      <w:r w:rsidRPr="13665272">
        <w:rPr>
          <w:lang w:val="es-ES"/>
        </w:rPr>
        <w:t>La Compañía ha mantenido su alto nivel Net Promoter Score (NPS). Para marzo de 2024, el NPS era 43. Selina constantemente obtiene puntuaciones de NPS más altas que las de su grupo comparable, que incluye varias marcas de hoteles más grandes y consolidadas</w:t>
      </w:r>
      <w:r w:rsidR="4B20D647" w:rsidRPr="13665272">
        <w:rPr>
          <w:lang w:val="es-ES"/>
        </w:rPr>
        <w:t xml:space="preserve"> </w:t>
      </w:r>
      <w:r w:rsidRPr="13665272">
        <w:rPr>
          <w:vertAlign w:val="superscript"/>
          <w:lang w:val="es-ES"/>
        </w:rPr>
        <w:t>(6)</w:t>
      </w:r>
    </w:p>
    <w:p w14:paraId="1EE08FFE" w14:textId="0FE99739" w:rsidR="00EA3950" w:rsidRDefault="5410A433">
      <w:pPr>
        <w:numPr>
          <w:ilvl w:val="0"/>
          <w:numId w:val="2"/>
        </w:numPr>
        <w:spacing w:before="80" w:after="60" w:line="240" w:lineRule="auto"/>
        <w:jc w:val="both"/>
      </w:pPr>
      <w:r w:rsidRPr="13665272">
        <w:rPr>
          <w:lang w:val="es-ES"/>
        </w:rPr>
        <w:t>Iniciativas en curso para mejorar la satisfacción de los huéspedes en todo el portafolio. Crecimiento constante del índice de reputación online (ORI) desde enero de 2024 del 83% al 85,4% en marzo de 2024, con un objetivo a corto plazo del 90%.</w:t>
      </w:r>
      <w:r w:rsidR="679031CB" w:rsidRPr="13665272">
        <w:rPr>
          <w:lang w:val="es-ES"/>
        </w:rPr>
        <w:t xml:space="preserve"> </w:t>
      </w:r>
      <w:r w:rsidRPr="13665272">
        <w:rPr>
          <w:vertAlign w:val="superscript"/>
          <w:lang w:val="es-ES"/>
        </w:rPr>
        <w:t>(7)</w:t>
      </w:r>
    </w:p>
    <w:p w14:paraId="3FDB7732" w14:textId="77777777" w:rsidR="00EA3950" w:rsidRDefault="0076359A">
      <w:pPr>
        <w:numPr>
          <w:ilvl w:val="0"/>
          <w:numId w:val="2"/>
        </w:numPr>
        <w:spacing w:before="80" w:after="60" w:line="240" w:lineRule="auto"/>
        <w:jc w:val="both"/>
      </w:pPr>
      <w:r>
        <w:t>Se están realizando mejoras en los estándares de combinación de habitaciones y marcas de habitaciones, seguidas de actualizaciones en la estrategia de precios y contenido en los canales de ingresos para impulsar el crecimiento en la tarifa diaria promedio (ADR) y la ocupación.</w:t>
      </w:r>
    </w:p>
    <w:p w14:paraId="46704BEF" w14:textId="77777777" w:rsidR="00EA3950" w:rsidRDefault="0076359A">
      <w:pPr>
        <w:numPr>
          <w:ilvl w:val="0"/>
          <w:numId w:val="2"/>
        </w:numPr>
        <w:spacing w:before="80" w:after="60" w:line="240" w:lineRule="auto"/>
        <w:jc w:val="both"/>
      </w:pPr>
      <w:r>
        <w:t>Iniciativas en curso para reducir el número de habitaciones fuera de servicio (OOO) con el fin de aumentar el inventario vendible y mejorar los resultados de ingresos, especialmente durante los períodos pico. Reducción de mil habitaciones del 7,0% del total de habitaciones en enero de 2024 al 4,6% en marzo de 2024</w:t>
      </w:r>
      <w:r>
        <w:rPr>
          <w:vertAlign w:val="superscript"/>
        </w:rPr>
        <w:t>(8)</w:t>
      </w:r>
      <w:r>
        <w:t>.</w:t>
      </w:r>
    </w:p>
    <w:p w14:paraId="46A40DB5" w14:textId="77777777" w:rsidR="00EA3950" w:rsidRDefault="0076359A" w:rsidP="7CCD547B">
      <w:pPr>
        <w:numPr>
          <w:ilvl w:val="0"/>
          <w:numId w:val="2"/>
        </w:numPr>
        <w:pBdr>
          <w:top w:val="nil"/>
          <w:left w:val="nil"/>
          <w:bottom w:val="nil"/>
          <w:right w:val="nil"/>
          <w:between w:val="nil"/>
        </w:pBdr>
        <w:spacing w:before="80" w:after="60" w:line="240" w:lineRule="auto"/>
        <w:jc w:val="both"/>
      </w:pPr>
      <w:r w:rsidRPr="7CCD547B">
        <w:rPr>
          <w:lang w:val="es-ES"/>
        </w:rPr>
        <w:t>Visitas integrales al sitio realizadas por Gadi Hassin, director de operaciones, y su equipo de liderazgo durante los últimos meses para compartir las mejores prácticas de los hoteles con mejor desempeño, identificar áreas de mejora y optimización, establecer e implementar planes de acción claros y proporcionar áreas adicionales de refuerzo de capacitación.</w:t>
      </w:r>
    </w:p>
    <w:p w14:paraId="1FC39945" w14:textId="77777777" w:rsidR="00EA3950" w:rsidRDefault="00EA3950">
      <w:pPr>
        <w:pBdr>
          <w:top w:val="nil"/>
          <w:left w:val="nil"/>
          <w:bottom w:val="nil"/>
          <w:right w:val="nil"/>
          <w:between w:val="nil"/>
        </w:pBdr>
        <w:spacing w:after="0" w:line="240" w:lineRule="auto"/>
        <w:jc w:val="both"/>
        <w:rPr>
          <w:color w:val="0D0D0D"/>
        </w:rPr>
      </w:pPr>
    </w:p>
    <w:p w14:paraId="576AF1A8" w14:textId="2A8EB80F" w:rsidR="5410A433" w:rsidRDefault="5410A433" w:rsidP="13665272">
      <w:pPr>
        <w:spacing w:after="0" w:line="240" w:lineRule="auto"/>
        <w:jc w:val="both"/>
        <w:rPr>
          <w:b/>
          <w:bCs/>
          <w:lang w:val="es-ES"/>
        </w:rPr>
      </w:pPr>
      <w:r w:rsidRPr="13665272">
        <w:rPr>
          <w:b/>
          <w:bCs/>
          <w:lang w:val="es-ES"/>
        </w:rPr>
        <w:t>Comentario de Rafael Museri, cofundador y director ejecutivo</w:t>
      </w:r>
      <w:r w:rsidR="37857ACF" w:rsidRPr="13665272">
        <w:rPr>
          <w:b/>
          <w:bCs/>
          <w:lang w:val="es-ES"/>
        </w:rPr>
        <w:t xml:space="preserve"> de Selina</w:t>
      </w:r>
      <w:r w:rsidRPr="13665272">
        <w:rPr>
          <w:b/>
          <w:bCs/>
          <w:lang w:val="es-ES"/>
        </w:rPr>
        <w:t>:</w:t>
      </w:r>
    </w:p>
    <w:p w14:paraId="4E365CEE" w14:textId="1B509F11" w:rsidR="4A350BD9" w:rsidRDefault="4A350BD9" w:rsidP="13665272">
      <w:pPr>
        <w:spacing w:after="0" w:line="240" w:lineRule="auto"/>
        <w:jc w:val="both"/>
        <w:rPr>
          <w:i/>
          <w:iCs/>
          <w:lang w:val="es-ES"/>
        </w:rPr>
      </w:pPr>
      <w:r w:rsidRPr="13665272">
        <w:rPr>
          <w:i/>
          <w:iCs/>
          <w:lang w:val="es-ES"/>
        </w:rPr>
        <w:t xml:space="preserve">"Estoy muy satisfecho con el progreso que hemos logrado en nuestro negocio, manteniendo un enfoque incansable hacia la rentabilidad desde principios de 2023. </w:t>
      </w:r>
      <w:r w:rsidR="5A7D624F" w:rsidRPr="13665272">
        <w:rPr>
          <w:i/>
          <w:iCs/>
          <w:lang w:val="es-ES"/>
        </w:rPr>
        <w:t>La</w:t>
      </w:r>
      <w:r w:rsidRPr="13665272">
        <w:rPr>
          <w:i/>
          <w:iCs/>
          <w:lang w:val="es-ES"/>
        </w:rPr>
        <w:t xml:space="preserve"> asociación con nuestro nuevo inversor estratégico, Osprey International Limited, fortalecerá nuestro camino hacia el éxito.</w:t>
      </w:r>
      <w:r w:rsidR="35BF43CB" w:rsidRPr="13665272">
        <w:rPr>
          <w:i/>
          <w:iCs/>
          <w:lang w:val="es-ES"/>
        </w:rPr>
        <w:t xml:space="preserve"> </w:t>
      </w:r>
      <w:r w:rsidRPr="13665272">
        <w:rPr>
          <w:i/>
          <w:iCs/>
          <w:lang w:val="es-ES"/>
        </w:rPr>
        <w:t xml:space="preserve">Agradezco enormemente a todos los equipos de Selina y a nuestros socios proveedores por su apoyo, flexibilidad y creatividad mientras </w:t>
      </w:r>
      <w:r w:rsidR="1F88DDE5" w:rsidRPr="13665272">
        <w:rPr>
          <w:i/>
          <w:iCs/>
          <w:lang w:val="es-ES"/>
        </w:rPr>
        <w:t>trabajamos juntos para reforzar</w:t>
      </w:r>
      <w:r w:rsidRPr="13665272">
        <w:rPr>
          <w:i/>
          <w:iCs/>
          <w:lang w:val="es-ES"/>
        </w:rPr>
        <w:t xml:space="preserve"> nuestra infraestructura y ofrecemos experiencias excepcionales a nuestros huéspedes. Mantendremos informada a nuestra comunidad inversora sobre nuestro progreso a medida que completemos nuestros informes financieros y auditoría independiente”.</w:t>
      </w:r>
      <w:r>
        <w:br/>
      </w:r>
    </w:p>
    <w:p w14:paraId="62EBF3C5" w14:textId="1414C50F" w:rsidR="00EA3950" w:rsidRDefault="5410A433" w:rsidP="13665272">
      <w:pPr>
        <w:pBdr>
          <w:top w:val="nil"/>
          <w:left w:val="nil"/>
          <w:bottom w:val="nil"/>
          <w:right w:val="nil"/>
          <w:between w:val="nil"/>
        </w:pBdr>
        <w:spacing w:after="0" w:line="240" w:lineRule="auto"/>
        <w:jc w:val="both"/>
        <w:rPr>
          <w:b/>
          <w:bCs/>
        </w:rPr>
      </w:pPr>
      <w:r w:rsidRPr="13665272">
        <w:rPr>
          <w:b/>
          <w:bCs/>
        </w:rPr>
        <w:t>Otra información relevante</w:t>
      </w:r>
    </w:p>
    <w:p w14:paraId="248430CD" w14:textId="77777777" w:rsidR="00EA3950" w:rsidRDefault="0076359A">
      <w:pPr>
        <w:spacing w:after="0" w:line="240" w:lineRule="auto"/>
        <w:jc w:val="both"/>
      </w:pPr>
      <w:r>
        <w:rPr>
          <w:color w:val="0D0D0D"/>
        </w:rPr>
        <w:t>Como se revela en su presentación NT 20-F ante la Comisión de Bolsa y Valores el 1 de mayo de 2024 y el Informe adjunto en el Formulario 6-K, la presentación del Informe Anual de la Compañía en el Formulario 20-F para el año que finalizó el 31 de diciembre de 2023 ha se ha retrasado y se prevé que se presente antes del 31 de julio de 2024.</w:t>
      </w:r>
    </w:p>
    <w:p w14:paraId="6D98A12B" w14:textId="77777777" w:rsidR="00EA3950" w:rsidRDefault="00EA3950">
      <w:pPr>
        <w:spacing w:after="0" w:line="240" w:lineRule="auto"/>
        <w:jc w:val="both"/>
        <w:rPr>
          <w:highlight w:val="yellow"/>
        </w:rPr>
      </w:pPr>
    </w:p>
    <w:p w14:paraId="757EAC72" w14:textId="77777777" w:rsidR="00EA3950" w:rsidRDefault="0076359A">
      <w:pPr>
        <w:spacing w:after="0" w:line="240" w:lineRule="auto"/>
        <w:jc w:val="both"/>
        <w:rPr>
          <w:color w:val="0D0D0D"/>
        </w:rPr>
      </w:pPr>
      <w:r>
        <w:t>La Compañía no puede proporcionar estados financieros IFRS completos no auditados o algunas métricas clave no IFRS, como EBITDA o EBITDA ajustado, hasta que se hayan completado ciertos análisis de contabilidad fiscal externa y de deterioro y valoraciones de instrumentos financieros, lo que permite que EBITDA/EBITDA ajustado sea conciliado con la “Pérdida neta” para el año terminado el 31 de diciembre de 2023, su medida NIIF más cercana.</w:t>
      </w:r>
    </w:p>
    <w:p w14:paraId="2946DB82" w14:textId="77777777" w:rsidR="00EA3950" w:rsidRDefault="00EA3950">
      <w:pPr>
        <w:pBdr>
          <w:top w:val="nil"/>
          <w:left w:val="nil"/>
          <w:bottom w:val="nil"/>
          <w:right w:val="nil"/>
          <w:between w:val="nil"/>
        </w:pBdr>
        <w:spacing w:after="0" w:line="240" w:lineRule="auto"/>
        <w:jc w:val="both"/>
        <w:rPr>
          <w:color w:val="0D0D0D"/>
        </w:rPr>
      </w:pPr>
    </w:p>
    <w:p w14:paraId="03F2DA76" w14:textId="5C2722B4" w:rsidR="00EA3950" w:rsidRDefault="5410A433" w:rsidP="7CCD547B">
      <w:pPr>
        <w:numPr>
          <w:ilvl w:val="0"/>
          <w:numId w:val="1"/>
        </w:numPr>
        <w:spacing w:after="0" w:line="240" w:lineRule="auto"/>
        <w:jc w:val="both"/>
        <w:rPr>
          <w:color w:val="0D0D0D"/>
          <w:sz w:val="18"/>
          <w:szCs w:val="18"/>
          <w:lang w:val="es-ES"/>
        </w:rPr>
      </w:pPr>
      <w:r w:rsidRPr="13665272">
        <w:rPr>
          <w:color w:val="000000" w:themeColor="text1"/>
          <w:sz w:val="18"/>
          <w:szCs w:val="18"/>
          <w:lang w:val="es-ES"/>
        </w:rPr>
        <w:t xml:space="preserve">Definimos nuestra tasa de ocupación como el número de camas vendidas dividido por el número total de camas abiertas, durante un período determinado. Las camas abiertas reflejan el número total de camas en inventario en propiedades abiertas al final de un período determinado. </w:t>
      </w:r>
      <w:r w:rsidR="7E59EC02" w:rsidRPr="13665272">
        <w:rPr>
          <w:color w:val="000000" w:themeColor="text1"/>
          <w:sz w:val="18"/>
          <w:szCs w:val="18"/>
          <w:lang w:val="es-ES"/>
        </w:rPr>
        <w:t>Como nuestras propiedades pueden convertir habitaciones en diferentes configuraciones de camas, el número total de camas abiertas puede fluctuar en cualquier lugar durante un período determinado.</w:t>
      </w:r>
      <w:r w:rsidRPr="13665272">
        <w:rPr>
          <w:color w:val="000000" w:themeColor="text1"/>
          <w:sz w:val="18"/>
          <w:szCs w:val="18"/>
          <w:lang w:val="es-ES"/>
        </w:rPr>
        <w:t xml:space="preserve"> </w:t>
      </w:r>
      <w:r w:rsidR="2D7559B0" w:rsidRPr="13665272">
        <w:rPr>
          <w:color w:val="000000" w:themeColor="text1"/>
          <w:sz w:val="18"/>
          <w:szCs w:val="18"/>
          <w:lang w:val="es-ES"/>
        </w:rPr>
        <w:t>El promedio de camas abiertas diarias se calcula como el número total de camas en inventario en un período determinado diariamente.</w:t>
      </w:r>
      <w:r w:rsidRPr="13665272">
        <w:rPr>
          <w:color w:val="000000" w:themeColor="text1"/>
          <w:sz w:val="18"/>
          <w:szCs w:val="18"/>
          <w:lang w:val="es-ES"/>
        </w:rPr>
        <w:t xml:space="preserve"> Esta métrica refleja la capacidad de alojamiento diaria de Selina y se utiliza en el cálculo de la tasa de ocupación.</w:t>
      </w:r>
    </w:p>
    <w:p w14:paraId="6B6B6479" w14:textId="77777777" w:rsidR="00EA3950" w:rsidRDefault="0076359A">
      <w:pPr>
        <w:numPr>
          <w:ilvl w:val="0"/>
          <w:numId w:val="1"/>
        </w:numPr>
        <w:spacing w:after="0" w:line="240" w:lineRule="auto"/>
        <w:jc w:val="both"/>
        <w:rPr>
          <w:color w:val="0D0D0D"/>
          <w:sz w:val="18"/>
          <w:szCs w:val="18"/>
        </w:rPr>
      </w:pPr>
      <w:r>
        <w:rPr>
          <w:color w:val="0D0D0D"/>
          <w:sz w:val="18"/>
          <w:szCs w:val="18"/>
        </w:rPr>
        <w:t>Los ingresos anuales totales por espacio para dormir se calculan como los ingresos totales de una propiedad determinada, durante un período determinado, divididos por el promedio del número total de espacios para dormir abiertos al principio y al final de ese período. La administración considera los ingresos totales por espacio de cama como una medida útil para comparar el desempeño entre ubicaciones o cohortes a lo largo del tiempo, además de proporcionar una indicación del potencial de ingresos futuros a medida que continuamos aumentando el espacio total de camas.</w:t>
      </w:r>
    </w:p>
    <w:p w14:paraId="5B9FFB89" w14:textId="6411D4E9" w:rsidR="00EA3950" w:rsidRDefault="5410A433" w:rsidP="7CCD547B">
      <w:pPr>
        <w:numPr>
          <w:ilvl w:val="0"/>
          <w:numId w:val="1"/>
        </w:numPr>
        <w:spacing w:after="0" w:line="240" w:lineRule="auto"/>
        <w:jc w:val="both"/>
        <w:rPr>
          <w:color w:val="0D0D0D"/>
          <w:sz w:val="18"/>
          <w:szCs w:val="18"/>
          <w:lang w:val="es-ES"/>
        </w:rPr>
      </w:pPr>
      <w:r w:rsidRPr="13665272">
        <w:rPr>
          <w:color w:val="000000" w:themeColor="text1"/>
          <w:sz w:val="18"/>
          <w:szCs w:val="18"/>
          <w:lang w:val="es-ES"/>
        </w:rPr>
        <w:t>La ganancia/(pérdida) operativa a nivel de unidad (“</w:t>
      </w:r>
      <w:r w:rsidR="1FACE54F" w:rsidRPr="13665272">
        <w:rPr>
          <w:color w:val="000000" w:themeColor="text1"/>
          <w:sz w:val="18"/>
          <w:szCs w:val="18"/>
          <w:lang w:val="es-ES"/>
        </w:rPr>
        <w:t>ULOP” /</w:t>
      </w:r>
      <w:r w:rsidRPr="13665272">
        <w:rPr>
          <w:color w:val="000000" w:themeColor="text1"/>
          <w:sz w:val="18"/>
          <w:szCs w:val="18"/>
          <w:lang w:val="es-ES"/>
        </w:rPr>
        <w:t>“ULOL”) se define como el EBITDAR a nivel de unidad menos los gastos de alquiler. El EBITDAR a nivel unitario se define como las ganancias a nivel unitario antes de intereses, impuestos sobre la renta, depreciación y amortización y antes de alquiler (o de manera similar, el beneficio operativo bruto (“GOP”) menos otros gastos a nivel unitario no operativo, como el seguro de propiedad y los impuestos a la propiedad.</w:t>
      </w:r>
    </w:p>
    <w:p w14:paraId="16318EE7" w14:textId="77777777" w:rsidR="00EA3950" w:rsidRDefault="0076359A">
      <w:pPr>
        <w:numPr>
          <w:ilvl w:val="0"/>
          <w:numId w:val="1"/>
        </w:numPr>
        <w:spacing w:after="0" w:line="240" w:lineRule="auto"/>
        <w:jc w:val="both"/>
        <w:rPr>
          <w:color w:val="0D0D0D"/>
          <w:sz w:val="18"/>
          <w:szCs w:val="18"/>
        </w:rPr>
      </w:pPr>
      <w:r>
        <w:rPr>
          <w:color w:val="0D0D0D"/>
          <w:sz w:val="18"/>
          <w:szCs w:val="18"/>
        </w:rPr>
        <w:t>La Utilidad Operativa Bruta (“GOP”) se define como ingresos menos los gastos directos relacionados con la venta y operación de Habitaciones, Alimentos y Bebidas y Otros; específicamente, costo de bienes vendidos, costos laborales, costos de marketing y ventas, y gastos operativos como lavandería, limpieza, ropa blanca, servicios contractuales, gastos de programación, suministros y equipos operativos, servicios públicos, seguridad, etc.</w:t>
      </w:r>
    </w:p>
    <w:p w14:paraId="02A32E2C" w14:textId="77777777" w:rsidR="00EA3950" w:rsidRDefault="0076359A">
      <w:pPr>
        <w:numPr>
          <w:ilvl w:val="0"/>
          <w:numId w:val="1"/>
        </w:numPr>
        <w:spacing w:after="0" w:line="240" w:lineRule="auto"/>
        <w:jc w:val="both"/>
        <w:rPr>
          <w:color w:val="0D0D0D"/>
          <w:sz w:val="18"/>
          <w:szCs w:val="18"/>
        </w:rPr>
      </w:pPr>
      <w:r>
        <w:rPr>
          <w:color w:val="0D0D0D"/>
          <w:sz w:val="18"/>
          <w:szCs w:val="18"/>
        </w:rPr>
        <w:t>Los gastos generales corporativos (“COH”) incluyen gastos generales y administrativos, incluidas funciones de soporte como legales, recursos humanos, finanzas, TI, etc., incurridos a nivel global o regional, pero excluyen los costos no recurrentes de recaudación de fondos o reestructuración de deuda.</w:t>
      </w:r>
    </w:p>
    <w:p w14:paraId="373E1428" w14:textId="77777777" w:rsidR="00EA3950" w:rsidRDefault="0076359A">
      <w:pPr>
        <w:numPr>
          <w:ilvl w:val="0"/>
          <w:numId w:val="1"/>
        </w:numPr>
        <w:pBdr>
          <w:top w:val="nil"/>
          <w:left w:val="nil"/>
          <w:bottom w:val="nil"/>
          <w:right w:val="nil"/>
          <w:between w:val="nil"/>
        </w:pBdr>
        <w:spacing w:after="0" w:line="240" w:lineRule="auto"/>
        <w:jc w:val="both"/>
        <w:rPr>
          <w:color w:val="0D0D0D"/>
          <w:sz w:val="18"/>
          <w:szCs w:val="18"/>
        </w:rPr>
      </w:pPr>
      <w:r>
        <w:rPr>
          <w:color w:val="0D0D0D"/>
          <w:sz w:val="18"/>
          <w:szCs w:val="18"/>
        </w:rPr>
        <w:t>Datos de Comparably.com. El grupo hotelero comparativo incluye Accor, Airbnb, Hilton, Hyatt, IHG, Marriott y Radisson.</w:t>
      </w:r>
    </w:p>
    <w:p w14:paraId="66079A05" w14:textId="77777777" w:rsidR="00EA3950" w:rsidRDefault="0076359A" w:rsidP="7CCD547B">
      <w:pPr>
        <w:numPr>
          <w:ilvl w:val="0"/>
          <w:numId w:val="1"/>
        </w:numPr>
        <w:pBdr>
          <w:top w:val="nil"/>
          <w:left w:val="nil"/>
          <w:bottom w:val="nil"/>
          <w:right w:val="nil"/>
          <w:between w:val="nil"/>
        </w:pBdr>
        <w:spacing w:after="0" w:line="240" w:lineRule="auto"/>
        <w:jc w:val="both"/>
        <w:rPr>
          <w:color w:val="0D0D0D"/>
          <w:sz w:val="18"/>
          <w:szCs w:val="18"/>
          <w:lang w:val="es-ES"/>
        </w:rPr>
      </w:pPr>
      <w:r w:rsidRPr="7CCD547B">
        <w:rPr>
          <w:color w:val="0D0D0D" w:themeColor="text1" w:themeTint="F2"/>
          <w:sz w:val="18"/>
          <w:szCs w:val="18"/>
          <w:lang w:val="es-ES"/>
        </w:rPr>
        <w:t>El índice de reputación online es una métrica de toda la industria que utilizan las empresas que brindan servicios (hoteles, restaurantes, tiendas, etc.). Nuestros datos son recopilados y comunicados por el tercero, KePSLA.</w:t>
      </w:r>
    </w:p>
    <w:p w14:paraId="1A9DE456" w14:textId="77777777" w:rsidR="00EA3950" w:rsidRDefault="0076359A">
      <w:pPr>
        <w:numPr>
          <w:ilvl w:val="0"/>
          <w:numId w:val="1"/>
        </w:numPr>
        <w:spacing w:before="80" w:after="60" w:line="240" w:lineRule="auto"/>
        <w:jc w:val="both"/>
        <w:rPr>
          <w:color w:val="0D0D0D"/>
          <w:sz w:val="18"/>
          <w:szCs w:val="18"/>
        </w:rPr>
      </w:pPr>
      <w:r>
        <w:rPr>
          <w:color w:val="0D0D0D"/>
          <w:sz w:val="18"/>
          <w:szCs w:val="18"/>
        </w:rPr>
        <w:t>Las habitaciones fuera de servicio ("OOO") son habitaciones que están siendo renovadas, en reparación o mantenimiento, o que de otro modo no están disponibles y no se pueden vender a los huéspedes. El % se calcula como el total de habitaciones fuera de servicio por día dividido por las habitaciones disponibles durante todo el mes.</w:t>
      </w:r>
    </w:p>
    <w:p w14:paraId="37D308D6" w14:textId="77777777" w:rsidR="00EA3950" w:rsidRDefault="0076359A">
      <w:pPr>
        <w:numPr>
          <w:ilvl w:val="0"/>
          <w:numId w:val="1"/>
        </w:numPr>
        <w:spacing w:after="0" w:line="240" w:lineRule="auto"/>
        <w:jc w:val="both"/>
        <w:rPr>
          <w:color w:val="0D0D0D"/>
          <w:sz w:val="18"/>
          <w:szCs w:val="18"/>
        </w:rPr>
      </w:pPr>
      <w:r>
        <w:rPr>
          <w:color w:val="0D0D0D"/>
          <w:sz w:val="18"/>
          <w:szCs w:val="18"/>
        </w:rPr>
        <w:t>Variación porcentual ilustrada utilizando el punto medio del rango aplicable.</w:t>
      </w:r>
    </w:p>
    <w:p w14:paraId="5997CC1D" w14:textId="77777777" w:rsidR="00EA3950" w:rsidRDefault="00EA3950">
      <w:pPr>
        <w:pBdr>
          <w:top w:val="nil"/>
          <w:left w:val="nil"/>
          <w:bottom w:val="nil"/>
          <w:right w:val="nil"/>
          <w:between w:val="nil"/>
        </w:pBdr>
        <w:spacing w:after="0" w:line="240" w:lineRule="auto"/>
        <w:jc w:val="both"/>
        <w:rPr>
          <w:color w:val="0D0D0D"/>
        </w:rPr>
      </w:pPr>
    </w:p>
    <w:p w14:paraId="1BF7709D" w14:textId="77777777" w:rsidR="00EA3950" w:rsidRDefault="0076359A" w:rsidP="7CCD547B">
      <w:pPr>
        <w:spacing w:after="320" w:line="240" w:lineRule="auto"/>
        <w:jc w:val="both"/>
        <w:rPr>
          <w:b/>
          <w:bCs/>
          <w:lang w:val="es-ES"/>
        </w:rPr>
      </w:pPr>
      <w:r w:rsidRPr="7CCD547B">
        <w:rPr>
          <w:b/>
          <w:bCs/>
          <w:lang w:val="es-ES"/>
        </w:rPr>
        <w:t>Acerca de Selina Hospitality PLC</w:t>
      </w:r>
    </w:p>
    <w:p w14:paraId="30F05981" w14:textId="77777777" w:rsidR="00EA3950" w:rsidRDefault="0076359A">
      <w:pPr>
        <w:spacing w:after="320" w:line="240" w:lineRule="auto"/>
        <w:jc w:val="both"/>
      </w:pPr>
      <w:r w:rsidRPr="7CCD547B">
        <w:rPr>
          <w:lang w:val="es-ES"/>
        </w:rPr>
        <w:t>Selina Hospitality PLC (NASDAQ: SLNA) es una marca hotelera global creada para abordar las necesidades de los viajeros millennials y de la Generación Z, combinando alojamientos bellamente diseñados con coworking, recreación, bienestar y experiencias locales. Fundada en 2014 y diseñada a medida para el viajero nómada de hoy, Selina ofrece a los huéspedes una infraestructura global para viajar y trabajar en el extranjero sin problemas. Cada propiedad de Selina está diseñada en asociación con artistas, creadores y creadores de tendencias locales, dando nueva vida a edificios existentes en lugares interesantes en 22 países de seis continentes, desde ciudades urbanas hasta playas y selvas remotas. Para obtener más información, visite</w:t>
      </w:r>
      <w:hyperlink r:id="rId11">
        <w:r w:rsidRPr="7CCD547B">
          <w:rPr>
            <w:color w:val="1155CC"/>
            <w:u w:val="single"/>
            <w:lang w:val="es-ES"/>
          </w:rPr>
          <w:t>Selina.com</w:t>
        </w:r>
      </w:hyperlink>
      <w:r w:rsidRPr="7CCD547B">
        <w:rPr>
          <w:lang w:val="es-ES"/>
        </w:rPr>
        <w:t xml:space="preserve"> o sigue a Selina en</w:t>
      </w:r>
      <w:hyperlink r:id="rId12">
        <w:r w:rsidRPr="7CCD547B">
          <w:rPr>
            <w:color w:val="1155CC"/>
            <w:u w:val="single"/>
            <w:lang w:val="es-ES"/>
          </w:rPr>
          <w:t>X</w:t>
        </w:r>
      </w:hyperlink>
      <w:r w:rsidRPr="7CCD547B">
        <w:rPr>
          <w:lang w:val="es-ES"/>
        </w:rPr>
        <w:t>,</w:t>
      </w:r>
      <w:hyperlink r:id="rId13">
        <w:r w:rsidRPr="7CCD547B">
          <w:rPr>
            <w:color w:val="1155CC"/>
            <w:u w:val="single"/>
            <w:lang w:val="es-ES"/>
          </w:rPr>
          <w:t>Instagram</w:t>
        </w:r>
      </w:hyperlink>
      <w:r w:rsidRPr="7CCD547B">
        <w:rPr>
          <w:lang w:val="es-ES"/>
        </w:rPr>
        <w:t>,</w:t>
      </w:r>
      <w:hyperlink r:id="rId14">
        <w:r w:rsidRPr="7CCD547B">
          <w:rPr>
            <w:color w:val="1155CC"/>
            <w:u w:val="single"/>
            <w:lang w:val="es-ES"/>
          </w:rPr>
          <w:t>Facebook</w:t>
        </w:r>
      </w:hyperlink>
      <w:r w:rsidRPr="7CCD547B">
        <w:rPr>
          <w:lang w:val="es-ES"/>
        </w:rPr>
        <w:t>,</w:t>
      </w:r>
      <w:hyperlink r:id="rId15">
        <w:r w:rsidRPr="7CCD547B">
          <w:rPr>
            <w:color w:val="1155CC"/>
            <w:u w:val="single"/>
            <w:lang w:val="es-ES"/>
          </w:rPr>
          <w:t>LinkedIn</w:t>
        </w:r>
      </w:hyperlink>
      <w:r w:rsidRPr="7CCD547B">
        <w:rPr>
          <w:lang w:val="es-ES"/>
        </w:rPr>
        <w:t xml:space="preserve"> o</w:t>
      </w:r>
      <w:hyperlink r:id="rId16">
        <w:r w:rsidRPr="7CCD547B">
          <w:rPr>
            <w:color w:val="1155CC"/>
            <w:u w:val="single"/>
            <w:lang w:val="es-ES"/>
          </w:rPr>
          <w:t>YouTube.</w:t>
        </w:r>
      </w:hyperlink>
    </w:p>
    <w:p w14:paraId="567F1A47" w14:textId="58F03976" w:rsidR="00EA3950" w:rsidRDefault="5410A433">
      <w:pPr>
        <w:spacing w:after="320" w:line="240" w:lineRule="auto"/>
        <w:jc w:val="both"/>
      </w:pPr>
      <w:r w:rsidRPr="13665272">
        <w:rPr>
          <w:b/>
          <w:bCs/>
          <w:lang w:val="es-ES"/>
        </w:rPr>
        <w:t>Información prospectiva</w:t>
      </w:r>
    </w:p>
    <w:p w14:paraId="4E59B59F" w14:textId="35CB3EB5" w:rsidR="00EA3950" w:rsidRDefault="5410A433">
      <w:pPr>
        <w:spacing w:after="320" w:line="240" w:lineRule="auto"/>
        <w:jc w:val="both"/>
      </w:pPr>
      <w:r w:rsidRPr="13665272">
        <w:rPr>
          <w:lang w:val="es-ES"/>
        </w:rPr>
        <w:t xml:space="preserve">Este comunicado de prensa incluye “declaraciones prospectivas” en el sentido de las disposiciones de “puerto seguro” de la Ley de Reforma de Litigios sobre Valores Privados de los Estados Unidos de 1995. Las declaraciones prospectivas generalmente se relacionan con eventos futuros e incluyen términos como “preliminar, "puede", "debería", "espera", "pretende", "hará", "estimará", "anticipará", "creer", "predecirá", "potencial" o "continuará", o los aspectos negativos de estos términos o variaciones de ellos o terminología similar. </w:t>
      </w:r>
      <w:r w:rsidR="0B81ED8E" w:rsidRPr="13665272">
        <w:rPr>
          <w:lang w:val="es-ES"/>
        </w:rPr>
        <w:t>Dichas declaraciones prospectivas están sujetas a riesgos, incertidumbres (algunas fuera de nuestro control) y otros factores que podrían causar que los resultados reales difieran de los expresados o implícitos en dichas declaraciones prospectivas.</w:t>
      </w:r>
      <w:r w:rsidRPr="13665272">
        <w:rPr>
          <w:lang w:val="es-ES"/>
        </w:rPr>
        <w:t xml:space="preserve"> Estas declaraciones prospectivas se basan en suposiciones que, si bien consideramos razonables, son inherentemente inciertas. Los factores que pueden causar que los resultados reales difieran materialmente de las expectativas actuales incluyen, entre otros, cambios en la información financiera incluida en este comunicado de prensa en relación con la finalización de nuestra auditoría, la posible exclusión de la lista de las acciones ordinarias de Selina del Nasdaq Capital Market debido a no cumplimiento de las normas de cotización requeridas; posibles impactos negativos en nuestros resultados financieros como resultado de cambios en los mercados de viajes, hotelería y bienes raíces, incluida la posibilidad de que la demanda y los precios de los viajes no se recuperen en la medida prevista, particularmente en el entorno geopolítico y macroeconómico actual; volatilidad en los mercados de capitales; nuestra capacidad para ejecutar nuestros planes para aumentar la ocupación y los márgenes; la posible incapacidad de cumplir con nuestras obligaciones bajo nuestros acuerdos comerciales e instrumentos de deuda; retrasos o cancelaciones de nuestros esfuerzos para desarrollar, redesarrollar, convertir o renovar las propiedades que poseemos o alquilamos; impugnaciones de los derechos legales de uso de algunos de nuestros hoteles arrendados; riesgos asociados con la operación de una parte importante de nuestro negocio fuera de los Estados Unidos; riesgos de que las fallas del sistema de tecnología de la información, los retrasos en la operación de nuestros sistemas de tecnología de la información o las fallas en las mejoras del sistema puedan reducir nuestros ingresos; cambios en las leyes o regulaciones aplicables, incluidos desarrollos legales, fiscales o regulatorios, y el impacto de cualquier litigio u otros procedimientos legales o regulatorios; posibles retrasos en las iniciativas ESG y de sostenibilidad; la posibilidad de que podamos vernos afectados negativamente por otros factores económicos, comerciales y/o competitivos, incluidos los riesgos relacionados con el impacto de una crisis sanitaria mundial; y otros riesgos e incertidumbres descritos bajo el título “Factores de riesgo” contenidos en el Informe Anual en el Formulario 20-F para el año fiscal finalizado el 31 de diciembre de 2022, el prospecto presentado el 25 de agosto de 2023 y presentaciones posteriores ante la Comisión de Bolsa y Valores. Además, puede haber riesgos adicionales que Selina no conoce actualmente, o que Selina actualmente cree que son irrelevantes, lo que también podría causar que los resultados reales difieran de los contenidos en las declaraciones prospectivas. Nada en este comunicado de prensa debe considerarse como una representación por parte de ninguna persona de que se lograrán las declaraciones prospectivas establecidas en este documento o que se logrará cualquiera de los resultados contemplados de dichas declaraciones prospectivas. No debe confiar indebidamente en las declaraciones prospectivas, que se refieren únicamente a la fecha en que se realizan. Salvo que lo exija la ley, no asumimos ninguna obligación de actualizar estas declaraciones prospectivas.</w:t>
      </w:r>
    </w:p>
    <w:p w14:paraId="70690975" w14:textId="57FB7EE8" w:rsidR="00EA3950" w:rsidRDefault="0076359A">
      <w:pPr>
        <w:spacing w:after="0" w:line="240" w:lineRule="auto"/>
        <w:jc w:val="both"/>
      </w:pPr>
      <w:r>
        <w:br/>
      </w:r>
      <w:r w:rsidR="5410A433" w:rsidRPr="13665272">
        <w:rPr>
          <w:b/>
          <w:bCs/>
        </w:rPr>
        <w:t>Contactos</w:t>
      </w:r>
    </w:p>
    <w:p w14:paraId="5CEA361B" w14:textId="77777777" w:rsidR="00EA3950" w:rsidRDefault="0076359A">
      <w:pPr>
        <w:spacing w:after="0" w:line="276" w:lineRule="auto"/>
        <w:jc w:val="both"/>
      </w:pPr>
      <w:r>
        <w:t>Medios: press@selina.com</w:t>
      </w:r>
    </w:p>
    <w:p w14:paraId="099FDF18" w14:textId="77777777" w:rsidR="00EA3950" w:rsidRDefault="0076359A">
      <w:pPr>
        <w:spacing w:after="0" w:line="276" w:lineRule="auto"/>
        <w:jc w:val="both"/>
        <w:rPr>
          <w:b/>
        </w:rPr>
      </w:pPr>
      <w:r>
        <w:t>Inversor: inversores@selina.com</w:t>
      </w:r>
    </w:p>
    <w:p w14:paraId="110FFD37" w14:textId="77777777" w:rsidR="00EA3950" w:rsidRDefault="00EA3950">
      <w:pPr>
        <w:pBdr>
          <w:top w:val="nil"/>
          <w:left w:val="nil"/>
          <w:bottom w:val="nil"/>
          <w:right w:val="nil"/>
          <w:between w:val="nil"/>
        </w:pBdr>
        <w:spacing w:after="0" w:line="240" w:lineRule="auto"/>
        <w:jc w:val="both"/>
        <w:rPr>
          <w:color w:val="000000"/>
        </w:rPr>
      </w:pPr>
    </w:p>
    <w:sectPr w:rsidR="00EA395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6223" w14:textId="77777777" w:rsidR="0076359A" w:rsidRDefault="0076359A">
      <w:pPr>
        <w:spacing w:after="0" w:line="240" w:lineRule="auto"/>
      </w:pPr>
      <w:r>
        <w:separator/>
      </w:r>
    </w:p>
  </w:endnote>
  <w:endnote w:type="continuationSeparator" w:id="0">
    <w:p w14:paraId="07547A01" w14:textId="77777777" w:rsidR="0076359A" w:rsidRDefault="0076359A">
      <w:pPr>
        <w:spacing w:after="0" w:line="240" w:lineRule="auto"/>
      </w:pPr>
      <w:r>
        <w:continuationSeparator/>
      </w:r>
    </w:p>
  </w:endnote>
  <w:endnote w:type="continuationNotice" w:id="1">
    <w:p w14:paraId="5A9AD8AF" w14:textId="77777777" w:rsidR="00CA4365" w:rsidRDefault="00CA4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EA3950" w:rsidRDefault="00EA395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E253" w14:textId="77777777" w:rsidR="00EA3950" w:rsidRDefault="00EA395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CB0F" w14:textId="77777777" w:rsidR="00EA3950" w:rsidRDefault="00EA39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9379" w14:textId="77777777" w:rsidR="0076359A" w:rsidRDefault="0076359A">
      <w:pPr>
        <w:spacing w:after="0" w:line="240" w:lineRule="auto"/>
      </w:pPr>
      <w:r>
        <w:separator/>
      </w:r>
    </w:p>
  </w:footnote>
  <w:footnote w:type="continuationSeparator" w:id="0">
    <w:p w14:paraId="3FE9F23F" w14:textId="77777777" w:rsidR="0076359A" w:rsidRDefault="0076359A">
      <w:pPr>
        <w:spacing w:after="0" w:line="240" w:lineRule="auto"/>
      </w:pPr>
      <w:r>
        <w:continuationSeparator/>
      </w:r>
    </w:p>
  </w:footnote>
  <w:footnote w:type="continuationNotice" w:id="1">
    <w:p w14:paraId="10AF8F5F" w14:textId="77777777" w:rsidR="00CA4365" w:rsidRDefault="00CA4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EA3950" w:rsidRDefault="00EA395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F646" w14:textId="77777777" w:rsidR="00EA3950" w:rsidRDefault="0076359A">
    <w:pPr>
      <w:pBdr>
        <w:top w:val="nil"/>
        <w:left w:val="nil"/>
        <w:bottom w:val="nil"/>
        <w:right w:val="nil"/>
        <w:between w:val="nil"/>
      </w:pBdr>
      <w:tabs>
        <w:tab w:val="center" w:pos="4680"/>
        <w:tab w:val="right" w:pos="9360"/>
      </w:tabs>
      <w:spacing w:after="0" w:line="240" w:lineRule="auto"/>
      <w:jc w:val="center"/>
      <w:rPr>
        <w:color w:val="000000"/>
      </w:rPr>
    </w:pPr>
    <w:r>
      <w:rPr>
        <w:noProof/>
      </w:rPr>
      <w:drawing>
        <wp:inline distT="114300" distB="114300" distL="114300" distR="114300" wp14:anchorId="50513D67" wp14:editId="07777777">
          <wp:extent cx="1519238" cy="533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238" cy="533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3C25" w14:textId="77777777" w:rsidR="00EA3950" w:rsidRDefault="0076359A">
    <w:pPr>
      <w:pBdr>
        <w:top w:val="nil"/>
        <w:left w:val="nil"/>
        <w:bottom w:val="nil"/>
        <w:right w:val="nil"/>
        <w:between w:val="nil"/>
      </w:pBdr>
      <w:tabs>
        <w:tab w:val="center" w:pos="4680"/>
        <w:tab w:val="right" w:pos="9360"/>
      </w:tabs>
      <w:spacing w:after="0" w:line="240" w:lineRule="auto"/>
      <w:jc w:val="right"/>
      <w:rPr>
        <w:color w:val="000000"/>
      </w:rPr>
    </w:pPr>
    <w:r>
      <w:rPr>
        <w:color w:val="000000"/>
      </w:rPr>
      <w:t>Draft MLB 3/10/2022</w:t>
    </w:r>
  </w:p>
  <w:p w14:paraId="08CE6F91" w14:textId="77777777" w:rsidR="00EA3950" w:rsidRDefault="00EA3950">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CxJYrj+0UhLriv" int2:id="LtIZHCqd">
      <int2:state int2:value="Rejected" int2:type="AugLoop_Text_Critique"/>
    </int2:textHash>
    <int2:textHash int2:hashCode="HdsqPKlBVUcJ53" int2:id="N5764JFr">
      <int2:state int2:value="Rejected" int2:type="AugLoop_Text_Critique"/>
    </int2:textHash>
    <int2:textHash int2:hashCode="HrfVwiAND0naOH" int2:id="bfmkgDA0">
      <int2:state int2:value="Rejected" int2:type="AugLoop_Text_Critique"/>
    </int2:textHash>
    <int2:textHash int2:hashCode="ZQFYjJ7msobrnc" int2:id="c3tEyBJF">
      <int2:state int2:value="Rejected" int2:type="AugLoop_Text_Critique"/>
    </int2:textHash>
    <int2:textHash int2:hashCode="1Fcm4NyvhYbnNc" int2:id="e3ViOlRA">
      <int2:state int2:value="Rejected" int2:type="AugLoop_Text_Critique"/>
    </int2:textHash>
    <int2:textHash int2:hashCode="aDHLC7p6U4iRm1" int2:id="oEaWwefa">
      <int2:state int2:value="Rejected" int2:type="AugLoop_Text_Critique"/>
    </int2:textHash>
    <int2:textHash int2:hashCode="p8cehHur79ckSJ" int2:id="vOCZrWtV">
      <int2:state int2:value="Rejected" int2:type="AugLoop_Text_Critique"/>
    </int2:textHash>
    <int2:textHash int2:hashCode="izU/wxC+lthJ83" int2:id="yiKUNZm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A00B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9933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1540308">
    <w:abstractNumId w:val="0"/>
  </w:num>
  <w:num w:numId="2" w16cid:durableId="22283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50"/>
    <w:rsid w:val="004D4113"/>
    <w:rsid w:val="00760A19"/>
    <w:rsid w:val="0076359A"/>
    <w:rsid w:val="00904AE7"/>
    <w:rsid w:val="00A86280"/>
    <w:rsid w:val="00C34D71"/>
    <w:rsid w:val="00C52AF3"/>
    <w:rsid w:val="00CA4365"/>
    <w:rsid w:val="00EA3950"/>
    <w:rsid w:val="02750330"/>
    <w:rsid w:val="063D1451"/>
    <w:rsid w:val="0905EE15"/>
    <w:rsid w:val="095444E9"/>
    <w:rsid w:val="09D33B3D"/>
    <w:rsid w:val="0ADE4692"/>
    <w:rsid w:val="0B81ED8E"/>
    <w:rsid w:val="0E15E754"/>
    <w:rsid w:val="0E349082"/>
    <w:rsid w:val="10906068"/>
    <w:rsid w:val="13665272"/>
    <w:rsid w:val="150CB8D6"/>
    <w:rsid w:val="17DFC44A"/>
    <w:rsid w:val="1946B181"/>
    <w:rsid w:val="1E3D4257"/>
    <w:rsid w:val="1F88DDE5"/>
    <w:rsid w:val="1FACE54F"/>
    <w:rsid w:val="21E82EC5"/>
    <w:rsid w:val="22946E8F"/>
    <w:rsid w:val="23430446"/>
    <w:rsid w:val="239D8EBB"/>
    <w:rsid w:val="252036BF"/>
    <w:rsid w:val="2568BA7E"/>
    <w:rsid w:val="2637B0E4"/>
    <w:rsid w:val="26536619"/>
    <w:rsid w:val="29216C16"/>
    <w:rsid w:val="2A674A28"/>
    <w:rsid w:val="2D73CC63"/>
    <w:rsid w:val="2D7559B0"/>
    <w:rsid w:val="35BF43CB"/>
    <w:rsid w:val="37857ACF"/>
    <w:rsid w:val="38CBD6C6"/>
    <w:rsid w:val="3A10F763"/>
    <w:rsid w:val="3BAD8993"/>
    <w:rsid w:val="3D97B0C8"/>
    <w:rsid w:val="3F790501"/>
    <w:rsid w:val="3F963B7F"/>
    <w:rsid w:val="42595333"/>
    <w:rsid w:val="4406F24C"/>
    <w:rsid w:val="45DF9B65"/>
    <w:rsid w:val="47F244AC"/>
    <w:rsid w:val="480B6D09"/>
    <w:rsid w:val="49391F53"/>
    <w:rsid w:val="4A350BD9"/>
    <w:rsid w:val="4AB15447"/>
    <w:rsid w:val="4B1B9FEF"/>
    <w:rsid w:val="4B20D647"/>
    <w:rsid w:val="4BF8DBD4"/>
    <w:rsid w:val="4FFD5691"/>
    <w:rsid w:val="5085AA92"/>
    <w:rsid w:val="50A1F1A3"/>
    <w:rsid w:val="5117EAAB"/>
    <w:rsid w:val="51276225"/>
    <w:rsid w:val="5294A49A"/>
    <w:rsid w:val="530B13DE"/>
    <w:rsid w:val="5410A433"/>
    <w:rsid w:val="58936507"/>
    <w:rsid w:val="58CCD007"/>
    <w:rsid w:val="5A2E3511"/>
    <w:rsid w:val="5A7D624F"/>
    <w:rsid w:val="5B5F36DB"/>
    <w:rsid w:val="5E8CC43A"/>
    <w:rsid w:val="5F15E708"/>
    <w:rsid w:val="6119846D"/>
    <w:rsid w:val="61B73842"/>
    <w:rsid w:val="6255B8A2"/>
    <w:rsid w:val="635308A3"/>
    <w:rsid w:val="659B3D6D"/>
    <w:rsid w:val="679031CB"/>
    <w:rsid w:val="6ADA7FD3"/>
    <w:rsid w:val="6B8125CC"/>
    <w:rsid w:val="6D98CEDD"/>
    <w:rsid w:val="6E9DC5AD"/>
    <w:rsid w:val="6EA12CF6"/>
    <w:rsid w:val="707D7BF2"/>
    <w:rsid w:val="7512BD69"/>
    <w:rsid w:val="758FE864"/>
    <w:rsid w:val="76B5E76F"/>
    <w:rsid w:val="774C0C63"/>
    <w:rsid w:val="78AB0531"/>
    <w:rsid w:val="7AF1BB8D"/>
    <w:rsid w:val="7CCD547B"/>
    <w:rsid w:val="7D877F35"/>
    <w:rsid w:val="7E1DEA32"/>
    <w:rsid w:val="7E59EC02"/>
    <w:rsid w:val="7EC2F9DF"/>
    <w:rsid w:val="7FEA7E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3A6065"/>
  <w15:docId w15:val="{4663D521-7C2E-4DCE-B19A-976CBAB1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CA436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CA4365"/>
  </w:style>
  <w:style w:type="paragraph" w:styleId="Footer">
    <w:name w:val="footer"/>
    <w:basedOn w:val="Normal"/>
    <w:link w:val="FooterChar"/>
    <w:uiPriority w:val="99"/>
    <w:semiHidden/>
    <w:unhideWhenUsed/>
    <w:rsid w:val="00CA436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CA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selin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twitter.com/selinahotel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selinathenom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lina.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nkedin.com/company/5157123/admin/feed/posts/" TargetMode="External"/><Relationship Id="rId23" Type="http://schemas.openxmlformats.org/officeDocument/2006/relationships/fontTable" Target="fontTable.xml"/><Relationship Id="rId10" Type="http://schemas.openxmlformats.org/officeDocument/2006/relationships/hyperlink" Target="https://www.selina.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selinathenoma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28849-987A-4082-AB9C-40ABA29EF801}">
  <ds:schemaRefs>
    <ds:schemaRef ds:uri="http://schemas.microsoft.com/office/2006/metadata/contentType"/>
    <ds:schemaRef ds:uri="http://schemas.microsoft.com/office/2006/metadata/properties/metaAttributes"/>
    <ds:schemaRef ds:uri="http://www.w3.org/2000/xmlns/"/>
    <ds:schemaRef ds:uri="http://www.w3.org/2001/XMLSchema"/>
    <ds:schemaRef ds:uri="85f1cd9c-e7b3-4342-bb1f-6572efd3bc97"/>
    <ds:schemaRef ds:uri="928b6d83-b05c-43e3-bd10-fc841b0bdb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24BB9-B7D3-4354-9518-AEBA28A15F73}">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3.xml><?xml version="1.0" encoding="utf-8"?>
<ds:datastoreItem xmlns:ds="http://schemas.openxmlformats.org/officeDocument/2006/customXml" ds:itemID="{A43217F8-2E9F-4E9B-91C9-B7320C7A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2475</Words>
  <Characters>14109</Characters>
  <Application>Microsoft Office Word</Application>
  <DocSecurity>4</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Leyva Martinez</dc:creator>
  <cp:keywords/>
  <cp:lastModifiedBy>Eliana Leyva Martinez</cp:lastModifiedBy>
  <cp:revision>4</cp:revision>
  <dcterms:created xsi:type="dcterms:W3CDTF">2024-05-09T16:37:00Z</dcterms:created>
  <dcterms:modified xsi:type="dcterms:W3CDTF">2024-05-13T22:24:00Z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